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3F9A" w:rsidRDefault="004C3F9A" w:rsidP="004C3F9A">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#102-e</w:t>
      </w:r>
      <w:r>
        <w:rPr>
          <w:rFonts w:ascii="Arial" w:hAnsi="Arial" w:cs="Arial"/>
          <w:b/>
          <w:sz w:val="22"/>
          <w:szCs w:val="22"/>
        </w:rPr>
        <w:tab/>
      </w:r>
      <w:r w:rsidR="00652486" w:rsidRPr="00652486">
        <w:rPr>
          <w:rFonts w:ascii="Arial" w:hAnsi="Arial" w:cs="Arial"/>
          <w:b/>
          <w:sz w:val="22"/>
          <w:szCs w:val="22"/>
        </w:rPr>
        <w:t>R1-2006332</w:t>
      </w:r>
      <w:bookmarkStart w:id="1" w:name="_GoBack"/>
      <w:bookmarkEnd w:id="1"/>
    </w:p>
    <w:p w:rsidR="00450834" w:rsidRDefault="004C3F9A" w:rsidP="004C3F9A">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August 17th – 28th, 2020</w:t>
      </w:r>
      <w:r w:rsidR="00BD2FA9">
        <w:rPr>
          <w:rFonts w:ascii="Arial" w:hAnsi="Arial" w:cs="Arial"/>
          <w:b/>
          <w:sz w:val="22"/>
          <w:szCs w:val="22"/>
        </w:rPr>
        <w:tab/>
      </w:r>
    </w:p>
    <w:p w:rsidR="00450834" w:rsidRDefault="00450834">
      <w:pPr>
        <w:pStyle w:val="Footer"/>
        <w:jc w:val="both"/>
      </w:pPr>
    </w:p>
    <w:p w:rsidR="00450834" w:rsidRDefault="00BD2FA9">
      <w:pPr>
        <w:tabs>
          <w:tab w:val="left" w:pos="1985"/>
        </w:tabs>
        <w:spacing w:after="0"/>
        <w:rPr>
          <w:rFonts w:ascii="Arial" w:hAnsi="Arial"/>
          <w:b/>
        </w:rPr>
      </w:pPr>
      <w:r>
        <w:rPr>
          <w:rFonts w:ascii="Arial" w:hAnsi="Arial"/>
          <w:b/>
        </w:rPr>
        <w:t xml:space="preserve">Source: </w:t>
      </w:r>
      <w:r>
        <w:rPr>
          <w:rFonts w:ascii="Arial" w:hAnsi="Arial"/>
          <w:b/>
        </w:rPr>
        <w:tab/>
        <w:t>ZTE</w:t>
      </w:r>
    </w:p>
    <w:p w:rsidR="00450834" w:rsidRDefault="00BD2FA9">
      <w:pPr>
        <w:spacing w:after="0"/>
        <w:ind w:left="1988" w:hanging="1988"/>
        <w:rPr>
          <w:rFonts w:ascii="Arial" w:hAnsi="Arial"/>
          <w:b/>
          <w:lang w:eastAsia="zh-CN"/>
        </w:rPr>
      </w:pPr>
      <w:r>
        <w:rPr>
          <w:rFonts w:ascii="Arial" w:hAnsi="Arial"/>
          <w:b/>
        </w:rPr>
        <w:t xml:space="preserve">Title: </w:t>
      </w:r>
      <w:r>
        <w:rPr>
          <w:rFonts w:ascii="Arial" w:hAnsi="Arial"/>
          <w:b/>
        </w:rPr>
        <w:tab/>
        <w:t>Interpretation of UE Features in Case of Cross-Carrier Operation</w:t>
      </w:r>
    </w:p>
    <w:p w:rsidR="00450834" w:rsidRDefault="00BD2FA9">
      <w:pPr>
        <w:tabs>
          <w:tab w:val="left" w:pos="1985"/>
        </w:tabs>
        <w:spacing w:after="0"/>
        <w:rPr>
          <w:rFonts w:ascii="Arial" w:hAnsi="Arial"/>
          <w:b/>
          <w:lang w:eastAsia="zh-CN"/>
        </w:rPr>
      </w:pPr>
      <w:r>
        <w:rPr>
          <w:rFonts w:ascii="Arial" w:hAnsi="Arial"/>
          <w:b/>
        </w:rPr>
        <w:t>Agenda item:</w:t>
      </w:r>
      <w:r>
        <w:rPr>
          <w:rFonts w:ascii="Arial" w:hAnsi="Arial"/>
          <w:b/>
        </w:rPr>
        <w:tab/>
        <w:t>7.</w:t>
      </w:r>
      <w:r w:rsidR="00E447DB">
        <w:rPr>
          <w:rFonts w:ascii="Arial" w:hAnsi="Arial"/>
          <w:b/>
        </w:rPr>
        <w:t>1</w:t>
      </w:r>
    </w:p>
    <w:p w:rsidR="00450834" w:rsidRDefault="00BD2FA9">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450834" w:rsidRDefault="00BD2FA9">
      <w:pPr>
        <w:pStyle w:val="Heading1"/>
        <w:textAlignment w:val="auto"/>
      </w:pPr>
      <w:bookmarkStart w:id="3" w:name="_Ref4817"/>
      <w:r>
        <w:t>Introduction</w:t>
      </w:r>
      <w:bookmarkEnd w:id="0"/>
      <w:bookmarkEnd w:id="3"/>
    </w:p>
    <w:p w:rsidR="00450834" w:rsidRDefault="004562DE">
      <w:pPr>
        <w:rPr>
          <w:lang w:val="en-GB" w:eastAsia="zh-CN"/>
        </w:rPr>
      </w:pPr>
      <w:r>
        <w:rPr>
          <w:rFonts w:hint="eastAsia"/>
          <w:lang w:val="en-GB" w:eastAsia="zh-CN"/>
        </w:rPr>
        <w:t>D</w:t>
      </w:r>
      <w:r>
        <w:rPr>
          <w:lang w:val="en-GB" w:eastAsia="zh-CN"/>
        </w:rPr>
        <w:t>uring RAN#88e meeting, companies had some preliminary discussions on the ambiguity issue regarding interpretation of UE feature in case of cross-carrier operation</w:t>
      </w:r>
      <w:r w:rsidR="00BF6FBD">
        <w:rPr>
          <w:lang w:val="en-GB" w:eastAsia="zh-CN"/>
        </w:rPr>
        <w:t xml:space="preserve"> </w:t>
      </w:r>
      <w:r w:rsidR="00BF6FBD">
        <w:rPr>
          <w:lang w:val="en-GB" w:eastAsia="zh-CN"/>
        </w:rPr>
        <w:fldChar w:fldCharType="begin"/>
      </w:r>
      <w:r w:rsidR="00BF6FBD">
        <w:rPr>
          <w:lang w:val="en-GB" w:eastAsia="zh-CN"/>
        </w:rPr>
        <w:instrText xml:space="preserve"> REF _Ref44923374 \r \h </w:instrText>
      </w:r>
      <w:r w:rsidR="00BF6FBD">
        <w:rPr>
          <w:lang w:val="en-GB" w:eastAsia="zh-CN"/>
        </w:rPr>
      </w:r>
      <w:r w:rsidR="00BF6FBD">
        <w:rPr>
          <w:lang w:val="en-GB" w:eastAsia="zh-CN"/>
        </w:rPr>
        <w:fldChar w:fldCharType="separate"/>
      </w:r>
      <w:r w:rsidR="00BF6FBD">
        <w:rPr>
          <w:lang w:val="en-GB" w:eastAsia="zh-CN"/>
        </w:rPr>
        <w:t>[1]</w:t>
      </w:r>
      <w:r w:rsidR="00BF6FBD">
        <w:rPr>
          <w:lang w:val="en-GB" w:eastAsia="zh-CN"/>
        </w:rPr>
        <w:fldChar w:fldCharType="end"/>
      </w:r>
      <w:r>
        <w:rPr>
          <w:lang w:val="en-GB" w:eastAsia="zh-CN"/>
        </w:rPr>
        <w:t xml:space="preserve">. One example for this ambiguity is as following, for a per-band UE capability, if a UE indicates support of this capability for band A, but indicates not support for band B, it is not clear how to determine whether the UE supports this capability or not in case of cross-carrier operation between band A and band B. </w:t>
      </w:r>
    </w:p>
    <w:p w:rsidR="00BF6FBD" w:rsidRDefault="00BE7EF7">
      <w:pPr>
        <w:rPr>
          <w:lang w:val="en-GB" w:eastAsia="zh-CN"/>
        </w:rPr>
      </w:pPr>
      <w:r>
        <w:rPr>
          <w:rFonts w:hint="eastAsia"/>
          <w:lang w:val="en-GB" w:eastAsia="zh-CN"/>
        </w:rPr>
        <w:t>I</w:t>
      </w:r>
      <w:r>
        <w:rPr>
          <w:lang w:val="en-GB" w:eastAsia="zh-CN"/>
        </w:rPr>
        <w:t>n the Moderator’s summary</w:t>
      </w:r>
      <w:r w:rsidR="00283005">
        <w:rPr>
          <w:lang w:val="en-GB" w:eastAsia="zh-CN"/>
        </w:rPr>
        <w:t xml:space="preserve"> </w:t>
      </w:r>
      <w:r w:rsidR="00283005">
        <w:rPr>
          <w:lang w:val="en-GB" w:eastAsia="zh-CN"/>
        </w:rPr>
        <w:fldChar w:fldCharType="begin"/>
      </w:r>
      <w:r w:rsidR="00283005">
        <w:rPr>
          <w:lang w:val="en-GB" w:eastAsia="zh-CN"/>
        </w:rPr>
        <w:instrText xml:space="preserve"> REF _Ref44923374 \r \h </w:instrText>
      </w:r>
      <w:r w:rsidR="00283005">
        <w:rPr>
          <w:lang w:val="en-GB" w:eastAsia="zh-CN"/>
        </w:rPr>
      </w:r>
      <w:r w:rsidR="00283005">
        <w:rPr>
          <w:lang w:val="en-GB" w:eastAsia="zh-CN"/>
        </w:rPr>
        <w:fldChar w:fldCharType="separate"/>
      </w:r>
      <w:r w:rsidR="00283005">
        <w:rPr>
          <w:lang w:val="en-GB" w:eastAsia="zh-CN"/>
        </w:rPr>
        <w:t>[1]</w:t>
      </w:r>
      <w:r w:rsidR="00283005">
        <w:rPr>
          <w:lang w:val="en-GB" w:eastAsia="zh-CN"/>
        </w:rPr>
        <w:fldChar w:fldCharType="end"/>
      </w:r>
      <w:r>
        <w:rPr>
          <w:lang w:val="en-GB" w:eastAsia="zh-CN"/>
        </w:rPr>
        <w:t>, the following observation was made. In this contribution, analysis on this ambiguity issue is presented.</w:t>
      </w:r>
    </w:p>
    <w:tbl>
      <w:tblPr>
        <w:tblStyle w:val="TableGrid"/>
        <w:tblW w:w="0" w:type="auto"/>
        <w:tblLook w:val="04A0" w:firstRow="1" w:lastRow="0" w:firstColumn="1" w:lastColumn="0" w:noHBand="0" w:noVBand="1"/>
      </w:tblPr>
      <w:tblGrid>
        <w:gridCol w:w="9628"/>
      </w:tblGrid>
      <w:tr w:rsidR="00BE7EF7" w:rsidRPr="00BE7EF7" w:rsidTr="00BE7EF7">
        <w:tc>
          <w:tcPr>
            <w:tcW w:w="9628" w:type="dxa"/>
          </w:tcPr>
          <w:p w:rsidR="00BE7EF7" w:rsidRPr="00BE7EF7" w:rsidRDefault="00BE7EF7" w:rsidP="00BE7EF7">
            <w:pPr>
              <w:rPr>
                <w:rFonts w:ascii="Times New Roman" w:hAnsi="Times New Roman"/>
              </w:rPr>
            </w:pPr>
            <w:r w:rsidRPr="00BE7EF7">
              <w:rPr>
                <w:rFonts w:ascii="Times New Roman" w:hAnsi="Times New Roman"/>
              </w:rPr>
              <w:t xml:space="preserve">Observation for FG interpretation in case of cross-carrier operation: </w:t>
            </w:r>
          </w:p>
          <w:p w:rsidR="00BE7EF7" w:rsidRPr="00BE7EF7" w:rsidRDefault="00BE7EF7" w:rsidP="00BE7EF7">
            <w:pPr>
              <w:pStyle w:val="ListParagraph"/>
              <w:numPr>
                <w:ilvl w:val="0"/>
                <w:numId w:val="10"/>
              </w:numPr>
              <w:spacing w:afterLines="50"/>
              <w:rPr>
                <w:rFonts w:ascii="Times New Roman" w:hAnsi="Times New Roman"/>
              </w:rPr>
            </w:pPr>
            <w:r w:rsidRPr="00BE7EF7">
              <w:rPr>
                <w:rFonts w:ascii="Times New Roman" w:hAnsi="Times New Roman"/>
              </w:rPr>
              <w:t>For UE feature related to cross-carrier operation (e.g., cross-carrier scheduling/triggering/indication), the following alternatives can be discussed in case-by-case basis in WGs.</w:t>
            </w:r>
          </w:p>
          <w:p w:rsidR="00BE7EF7" w:rsidRPr="00BE7EF7" w:rsidRDefault="00BE7EF7" w:rsidP="00BE7EF7">
            <w:pPr>
              <w:pStyle w:val="ListParagraph"/>
              <w:numPr>
                <w:ilvl w:val="1"/>
                <w:numId w:val="10"/>
              </w:numPr>
              <w:spacing w:afterLines="50"/>
              <w:rPr>
                <w:rFonts w:ascii="Times New Roman" w:hAnsi="Times New Roman"/>
              </w:rPr>
            </w:pPr>
            <w:r w:rsidRPr="00BE7EF7">
              <w:rPr>
                <w:rFonts w:ascii="Times New Roman" w:hAnsi="Times New Roman"/>
              </w:rPr>
              <w:t>Alt.1: the support of this feature for both scheduling/triggering/indicating cell and scheduled/triggered/indicated cell.</w:t>
            </w:r>
          </w:p>
          <w:p w:rsidR="00BE7EF7" w:rsidRPr="00BE7EF7" w:rsidRDefault="00BE7EF7" w:rsidP="00BE7EF7">
            <w:pPr>
              <w:pStyle w:val="ListParagraph"/>
              <w:numPr>
                <w:ilvl w:val="1"/>
                <w:numId w:val="10"/>
              </w:numPr>
              <w:spacing w:afterLines="50"/>
              <w:rPr>
                <w:rFonts w:ascii="Times New Roman" w:hAnsi="Times New Roman"/>
              </w:rPr>
            </w:pPr>
            <w:r w:rsidRPr="00BE7EF7">
              <w:rPr>
                <w:rFonts w:ascii="Times New Roman" w:hAnsi="Times New Roman"/>
              </w:rPr>
              <w:t>Alt.2: the support of this feature for the scheduling/triggering/indicating cell only.</w:t>
            </w:r>
          </w:p>
          <w:p w:rsidR="00BE7EF7" w:rsidRPr="00BE7EF7" w:rsidRDefault="00BE7EF7" w:rsidP="00BE7EF7">
            <w:pPr>
              <w:pStyle w:val="ListParagraph"/>
              <w:numPr>
                <w:ilvl w:val="1"/>
                <w:numId w:val="10"/>
              </w:numPr>
              <w:spacing w:afterLines="50"/>
              <w:rPr>
                <w:rFonts w:ascii="Times New Roman" w:hAnsi="Times New Roman"/>
              </w:rPr>
            </w:pPr>
            <w:r w:rsidRPr="00BE7EF7">
              <w:rPr>
                <w:rFonts w:ascii="Times New Roman" w:hAnsi="Times New Roman"/>
              </w:rPr>
              <w:t>Alt.3: the support of this feature for the scheduled/triggered/indicated cell only.</w:t>
            </w:r>
          </w:p>
        </w:tc>
      </w:tr>
    </w:tbl>
    <w:p w:rsidR="00BE7EF7" w:rsidRPr="00BE7EF7" w:rsidRDefault="00BE7EF7">
      <w:pPr>
        <w:rPr>
          <w:lang w:val="en-GB" w:eastAsia="zh-CN"/>
        </w:rPr>
      </w:pPr>
    </w:p>
    <w:p w:rsidR="00450834" w:rsidRDefault="00BD2FA9">
      <w:pPr>
        <w:pStyle w:val="Heading1"/>
        <w:rPr>
          <w:lang w:eastAsia="zh-CN"/>
        </w:rPr>
      </w:pPr>
      <w:r>
        <w:rPr>
          <w:lang w:eastAsia="zh-CN"/>
        </w:rPr>
        <w:t>Discussion</w:t>
      </w:r>
    </w:p>
    <w:p w:rsidR="00C32F05" w:rsidRDefault="00C32F05" w:rsidP="00C32F05">
      <w:pPr>
        <w:rPr>
          <w:lang w:val="en-GB" w:eastAsia="zh-CN"/>
        </w:rPr>
      </w:pPr>
      <w:r>
        <w:rPr>
          <w:rFonts w:hint="eastAsia"/>
          <w:lang w:val="en-GB" w:eastAsia="zh-CN"/>
        </w:rPr>
        <w:t>D</w:t>
      </w:r>
      <w:r>
        <w:rPr>
          <w:lang w:val="en-GB" w:eastAsia="zh-CN"/>
        </w:rPr>
        <w:t xml:space="preserve">uring RAN2#107 meeting, RAN2 sent an LS on </w:t>
      </w:r>
      <w:r w:rsidRPr="00C32F05">
        <w:rPr>
          <w:lang w:val="en-GB" w:eastAsia="zh-CN"/>
        </w:rPr>
        <w:t>ambiguity of UE L1 FDD/TDD FR1/FR2 capabilities</w:t>
      </w:r>
      <w:r>
        <w:rPr>
          <w:lang w:val="en-GB" w:eastAsia="zh-CN"/>
        </w:rPr>
        <w:t xml:space="preserve"> to RAN1 to seek clarification</w:t>
      </w:r>
      <w:r w:rsidR="00283005">
        <w:rPr>
          <w:lang w:val="en-GB" w:eastAsia="zh-CN"/>
        </w:rPr>
        <w:t xml:space="preserve"> </w:t>
      </w:r>
      <w:r w:rsidR="00283005">
        <w:rPr>
          <w:lang w:val="en-GB" w:eastAsia="zh-CN"/>
        </w:rPr>
        <w:fldChar w:fldCharType="begin"/>
      </w:r>
      <w:r w:rsidR="00283005">
        <w:rPr>
          <w:lang w:val="en-GB" w:eastAsia="zh-CN"/>
        </w:rPr>
        <w:instrText xml:space="preserve"> REF _Ref44923611 \r \h </w:instrText>
      </w:r>
      <w:r w:rsidR="00283005">
        <w:rPr>
          <w:lang w:val="en-GB" w:eastAsia="zh-CN"/>
        </w:rPr>
      </w:r>
      <w:r w:rsidR="00283005">
        <w:rPr>
          <w:lang w:val="en-GB" w:eastAsia="zh-CN"/>
        </w:rPr>
        <w:fldChar w:fldCharType="separate"/>
      </w:r>
      <w:r w:rsidR="00283005">
        <w:rPr>
          <w:lang w:val="en-GB" w:eastAsia="zh-CN"/>
        </w:rPr>
        <w:t>[2]</w:t>
      </w:r>
      <w:r w:rsidR="00283005">
        <w:rPr>
          <w:lang w:val="en-GB" w:eastAsia="zh-CN"/>
        </w:rPr>
        <w:fldChar w:fldCharType="end"/>
      </w:r>
      <w:r>
        <w:rPr>
          <w:lang w:val="en-GB" w:eastAsia="zh-CN"/>
        </w:rPr>
        <w:t>. In summary, for UE capabilities with xDD/FRx differentiation, RAN2 asked RAN1 to clarify how to interpret the UE capabilities in case of cross-carrier operation. During RAN1#98bis meeting, RAN1 discussed the ambiguity issue and provided the reply LS in</w:t>
      </w:r>
      <w:r w:rsidR="00283005">
        <w:rPr>
          <w:lang w:val="en-GB" w:eastAsia="zh-CN"/>
        </w:rPr>
        <w:t xml:space="preserve"> </w:t>
      </w:r>
      <w:r w:rsidR="00283005">
        <w:rPr>
          <w:lang w:val="en-GB" w:eastAsia="zh-CN"/>
        </w:rPr>
        <w:fldChar w:fldCharType="begin"/>
      </w:r>
      <w:r w:rsidR="00283005">
        <w:rPr>
          <w:lang w:val="en-GB" w:eastAsia="zh-CN"/>
        </w:rPr>
        <w:instrText xml:space="preserve"> REF _Ref44507203 \r \h </w:instrText>
      </w:r>
      <w:r w:rsidR="00283005">
        <w:rPr>
          <w:lang w:val="en-GB" w:eastAsia="zh-CN"/>
        </w:rPr>
      </w:r>
      <w:r w:rsidR="00283005">
        <w:rPr>
          <w:lang w:val="en-GB" w:eastAsia="zh-CN"/>
        </w:rPr>
        <w:fldChar w:fldCharType="separate"/>
      </w:r>
      <w:r w:rsidR="00283005">
        <w:rPr>
          <w:lang w:val="en-GB" w:eastAsia="zh-CN"/>
        </w:rPr>
        <w:t>[3]</w:t>
      </w:r>
      <w:r w:rsidR="00283005">
        <w:rPr>
          <w:lang w:val="en-GB" w:eastAsia="zh-CN"/>
        </w:rPr>
        <w:fldChar w:fldCharType="end"/>
      </w:r>
      <w:r>
        <w:rPr>
          <w:lang w:val="en-GB" w:eastAsia="zh-CN"/>
        </w:rPr>
        <w:t>. RAN2 updated Annex A.1 and A.2 of TS38.306 accordingly to clarify this issue.</w:t>
      </w:r>
    </w:p>
    <w:p w:rsidR="00BD2FA9" w:rsidRPr="00BB63B9" w:rsidRDefault="00C32F05" w:rsidP="00BD2FA9">
      <w:pPr>
        <w:rPr>
          <w:lang w:val="en-GB" w:eastAsia="zh-CN"/>
        </w:rPr>
      </w:pPr>
      <w:r>
        <w:rPr>
          <w:lang w:val="en-GB" w:eastAsia="zh-CN"/>
        </w:rPr>
        <w:t xml:space="preserve">Note that RAN2 only adds clarification for UE capabilities with xDD/FRx differentiation </w:t>
      </w:r>
      <w:r w:rsidR="00BD2FA9">
        <w:rPr>
          <w:lang w:val="en-GB" w:eastAsia="zh-CN"/>
        </w:rPr>
        <w:t>in Annex A.1 and A.2 of TS38.306</w:t>
      </w:r>
      <w:r w:rsidR="004C676E">
        <w:rPr>
          <w:lang w:val="en-GB" w:eastAsia="zh-CN"/>
        </w:rPr>
        <w:t xml:space="preserve"> fa0</w:t>
      </w:r>
      <w:r w:rsidR="00BD2FA9">
        <w:rPr>
          <w:lang w:val="en-GB" w:eastAsia="zh-CN"/>
        </w:rPr>
        <w:t xml:space="preserve">. However, for some UE capabilities without xDD/FRx differentiation, the ambiguity issue still needs to be clarified. </w:t>
      </w:r>
      <w:r w:rsidR="00BD2FA9">
        <w:rPr>
          <w:rFonts w:hint="eastAsia"/>
          <w:lang w:eastAsia="zh-CN"/>
        </w:rPr>
        <w:t>T</w:t>
      </w:r>
      <w:r w:rsidR="00BD2FA9">
        <w:rPr>
          <w:lang w:eastAsia="zh-CN"/>
        </w:rPr>
        <w:t xml:space="preserve">ake the Rel-15 UE capability </w:t>
      </w:r>
      <w:r w:rsidR="00BD2FA9" w:rsidRPr="001A4EF2">
        <w:rPr>
          <w:i/>
          <w:lang w:eastAsia="zh-CN"/>
        </w:rPr>
        <w:t>aperiodicTRS</w:t>
      </w:r>
      <w:r w:rsidR="00BD2FA9">
        <w:rPr>
          <w:lang w:eastAsia="zh-CN"/>
        </w:rPr>
        <w:t xml:space="preserve"> as an example. UE capability </w:t>
      </w:r>
      <w:r w:rsidR="00BD2FA9" w:rsidRPr="001A4EF2">
        <w:rPr>
          <w:i/>
          <w:lang w:eastAsia="zh-CN"/>
        </w:rPr>
        <w:t>aperiodicTRS</w:t>
      </w:r>
      <w:r w:rsidR="00BD2FA9">
        <w:rPr>
          <w:lang w:eastAsia="zh-CN"/>
        </w:rPr>
        <w:t xml:space="preserve"> is a “per Band” signaling, which is to indicate the network whether the UE supports DCI triggering aperiodic TRS associated with periodic TRS. It is not clear how to interpret the UE capability in case when only one of the triggering cell and triggered cell supports </w:t>
      </w:r>
      <w:r w:rsidR="00BD2FA9" w:rsidRPr="001A4EF2">
        <w:rPr>
          <w:i/>
          <w:lang w:eastAsia="zh-CN"/>
        </w:rPr>
        <w:t>aperiodicTRS</w:t>
      </w:r>
      <w:r w:rsidR="00BD2FA9">
        <w:rPr>
          <w:lang w:eastAsia="zh-CN"/>
        </w:rPr>
        <w:t xml:space="preserve">. For example, if UE indicates support of </w:t>
      </w:r>
      <w:r w:rsidR="00BD2FA9">
        <w:rPr>
          <w:i/>
          <w:lang w:eastAsia="zh-CN"/>
        </w:rPr>
        <w:t>aperiodicTRS</w:t>
      </w:r>
      <w:r w:rsidR="00BD2FA9">
        <w:rPr>
          <w:lang w:eastAsia="zh-CN"/>
        </w:rPr>
        <w:t xml:space="preserve"> for Band A and NOT support of </w:t>
      </w:r>
      <w:r w:rsidR="00BD2FA9">
        <w:rPr>
          <w:i/>
          <w:lang w:eastAsia="zh-CN"/>
        </w:rPr>
        <w:t>aperiodicTRS</w:t>
      </w:r>
      <w:r w:rsidR="00BD2FA9">
        <w:rPr>
          <w:lang w:eastAsia="zh-CN"/>
        </w:rPr>
        <w:t xml:space="preserve"> for Band B. If UE needs to trigger A-TRS for Band B from Band A, it is not clear whether UE supports this kind of operation.</w:t>
      </w:r>
    </w:p>
    <w:tbl>
      <w:tblPr>
        <w:tblStyle w:val="20"/>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D2FA9" w:rsidTr="00BD2FA9">
        <w:trPr>
          <w:cantSplit/>
        </w:trPr>
        <w:tc>
          <w:tcPr>
            <w:tcW w:w="6917" w:type="dxa"/>
            <w:tcBorders>
              <w:top w:val="single" w:sz="4" w:space="0" w:color="808080"/>
              <w:left w:val="single" w:sz="4" w:space="0" w:color="808080"/>
              <w:bottom w:val="single" w:sz="4" w:space="0" w:color="808080"/>
              <w:right w:val="single" w:sz="4" w:space="0" w:color="808080"/>
            </w:tcBorders>
          </w:tcPr>
          <w:p w:rsidR="00BD2FA9" w:rsidRDefault="00BD2FA9" w:rsidP="00BD2FA9">
            <w:pPr>
              <w:pStyle w:val="TAH"/>
              <w:rPr>
                <w:rFonts w:eastAsia="Malgun Gothic"/>
                <w:lang w:eastAsia="zh-CN"/>
              </w:rPr>
            </w:pPr>
            <w:r>
              <w:t>Definitions for parameters</w:t>
            </w:r>
          </w:p>
        </w:tc>
        <w:tc>
          <w:tcPr>
            <w:tcW w:w="709" w:type="dxa"/>
            <w:tcBorders>
              <w:top w:val="single" w:sz="4" w:space="0" w:color="808080"/>
              <w:left w:val="nil"/>
              <w:bottom w:val="single" w:sz="4" w:space="0" w:color="808080"/>
              <w:right w:val="single" w:sz="4" w:space="0" w:color="808080"/>
            </w:tcBorders>
          </w:tcPr>
          <w:p w:rsidR="00BD2FA9" w:rsidRDefault="00BD2FA9" w:rsidP="00BD2FA9">
            <w:pPr>
              <w:pStyle w:val="TAH"/>
            </w:pPr>
            <w:r>
              <w:t>Per</w:t>
            </w:r>
          </w:p>
        </w:tc>
        <w:tc>
          <w:tcPr>
            <w:tcW w:w="567" w:type="dxa"/>
            <w:tcBorders>
              <w:top w:val="single" w:sz="4" w:space="0" w:color="808080"/>
              <w:left w:val="nil"/>
              <w:bottom w:val="single" w:sz="4" w:space="0" w:color="808080"/>
              <w:right w:val="single" w:sz="4" w:space="0" w:color="808080"/>
            </w:tcBorders>
          </w:tcPr>
          <w:p w:rsidR="00BD2FA9" w:rsidRDefault="00BD2FA9" w:rsidP="00BD2FA9">
            <w:pPr>
              <w:pStyle w:val="TAH"/>
            </w:pPr>
            <w:r>
              <w:t>M</w:t>
            </w:r>
          </w:p>
        </w:tc>
        <w:tc>
          <w:tcPr>
            <w:tcW w:w="709" w:type="dxa"/>
            <w:tcBorders>
              <w:top w:val="single" w:sz="4" w:space="0" w:color="808080"/>
              <w:left w:val="nil"/>
              <w:bottom w:val="single" w:sz="4" w:space="0" w:color="808080"/>
              <w:right w:val="single" w:sz="4" w:space="0" w:color="808080"/>
            </w:tcBorders>
          </w:tcPr>
          <w:p w:rsidR="00BD2FA9" w:rsidRDefault="00BD2FA9" w:rsidP="00BD2FA9">
            <w:pPr>
              <w:pStyle w:val="TAH"/>
            </w:pPr>
            <w:r>
              <w:t>FDD-TDD</w:t>
            </w:r>
          </w:p>
          <w:p w:rsidR="00BD2FA9" w:rsidRDefault="00BD2FA9" w:rsidP="00BD2FA9">
            <w:pPr>
              <w:pStyle w:val="TAH"/>
            </w:pPr>
            <w:r>
              <w:t>DIFF</w:t>
            </w:r>
          </w:p>
        </w:tc>
        <w:tc>
          <w:tcPr>
            <w:tcW w:w="728" w:type="dxa"/>
            <w:tcBorders>
              <w:top w:val="single" w:sz="4" w:space="0" w:color="808080"/>
              <w:left w:val="nil"/>
              <w:bottom w:val="single" w:sz="4" w:space="0" w:color="808080"/>
              <w:right w:val="single" w:sz="4" w:space="0" w:color="808080"/>
            </w:tcBorders>
          </w:tcPr>
          <w:p w:rsidR="00BD2FA9" w:rsidRDefault="00BD2FA9" w:rsidP="00BD2FA9">
            <w:pPr>
              <w:pStyle w:val="TAH"/>
            </w:pPr>
            <w:r>
              <w:t>FR1-FR2</w:t>
            </w:r>
          </w:p>
          <w:p w:rsidR="00BD2FA9" w:rsidRDefault="00BD2FA9" w:rsidP="00BD2FA9">
            <w:pPr>
              <w:pStyle w:val="TAH"/>
            </w:pPr>
            <w:r>
              <w:t>DIFF</w:t>
            </w:r>
          </w:p>
        </w:tc>
      </w:tr>
      <w:tr w:rsidR="00BD2FA9" w:rsidTr="00BD2FA9">
        <w:trPr>
          <w:cantSplit/>
        </w:trPr>
        <w:tc>
          <w:tcPr>
            <w:tcW w:w="6917" w:type="dxa"/>
            <w:tcBorders>
              <w:top w:val="single" w:sz="4" w:space="0" w:color="808080"/>
              <w:left w:val="single" w:sz="4" w:space="0" w:color="808080"/>
              <w:bottom w:val="single" w:sz="4" w:space="0" w:color="808080"/>
              <w:right w:val="single" w:sz="4" w:space="0" w:color="808080"/>
            </w:tcBorders>
          </w:tcPr>
          <w:p w:rsidR="00BD2FA9" w:rsidRDefault="00BD2FA9" w:rsidP="00BD2FA9">
            <w:pPr>
              <w:pStyle w:val="TAL"/>
              <w:rPr>
                <w:b/>
                <w:bCs/>
                <w:i/>
                <w:iCs/>
              </w:rPr>
            </w:pPr>
            <w:r>
              <w:rPr>
                <w:b/>
                <w:bCs/>
                <w:i/>
                <w:iCs/>
              </w:rPr>
              <w:t>aperiodicTRS</w:t>
            </w:r>
          </w:p>
          <w:p w:rsidR="00BD2FA9" w:rsidRDefault="00BD2FA9" w:rsidP="00BD2FA9">
            <w:pPr>
              <w:pStyle w:val="TAL"/>
            </w:pPr>
            <w:r>
              <w:rPr>
                <w:rFonts w:cs="Arial"/>
              </w:rPr>
              <w:t>Indicates whether the UE supports DCI triggering aperiodic TRS associated with periodic TRS.</w:t>
            </w:r>
          </w:p>
        </w:tc>
        <w:tc>
          <w:tcPr>
            <w:tcW w:w="709" w:type="dxa"/>
            <w:tcBorders>
              <w:top w:val="single" w:sz="4" w:space="0" w:color="808080"/>
              <w:left w:val="nil"/>
              <w:bottom w:val="single" w:sz="4" w:space="0" w:color="808080"/>
              <w:right w:val="single" w:sz="4" w:space="0" w:color="808080"/>
            </w:tcBorders>
          </w:tcPr>
          <w:p w:rsidR="00BD2FA9" w:rsidRDefault="00BD2FA9" w:rsidP="00BD2FA9">
            <w:pPr>
              <w:pStyle w:val="TAL"/>
              <w:jc w:val="center"/>
            </w:pPr>
            <w:r>
              <w:rPr>
                <w:rFonts w:cs="Arial"/>
              </w:rPr>
              <w:t>Band</w:t>
            </w:r>
          </w:p>
        </w:tc>
        <w:tc>
          <w:tcPr>
            <w:tcW w:w="567" w:type="dxa"/>
            <w:tcBorders>
              <w:top w:val="single" w:sz="4" w:space="0" w:color="808080"/>
              <w:left w:val="nil"/>
              <w:bottom w:val="single" w:sz="4" w:space="0" w:color="808080"/>
              <w:right w:val="single" w:sz="4" w:space="0" w:color="808080"/>
            </w:tcBorders>
          </w:tcPr>
          <w:p w:rsidR="00BD2FA9" w:rsidRDefault="00BD2FA9" w:rsidP="00BD2FA9">
            <w:pPr>
              <w:pStyle w:val="TAL"/>
              <w:jc w:val="center"/>
            </w:pPr>
            <w:r>
              <w:rPr>
                <w:rFonts w:cs="Arial"/>
              </w:rPr>
              <w:t>No</w:t>
            </w:r>
          </w:p>
        </w:tc>
        <w:tc>
          <w:tcPr>
            <w:tcW w:w="709" w:type="dxa"/>
            <w:tcBorders>
              <w:top w:val="single" w:sz="4" w:space="0" w:color="808080"/>
              <w:left w:val="nil"/>
              <w:bottom w:val="single" w:sz="4" w:space="0" w:color="808080"/>
              <w:right w:val="single" w:sz="4" w:space="0" w:color="808080"/>
            </w:tcBorders>
          </w:tcPr>
          <w:p w:rsidR="00BD2FA9" w:rsidRDefault="00BD2FA9" w:rsidP="00BD2FA9">
            <w:pPr>
              <w:pStyle w:val="TAL"/>
              <w:jc w:val="center"/>
            </w:pPr>
            <w:r>
              <w:rPr>
                <w:rFonts w:cs="Arial"/>
              </w:rPr>
              <w:t>N/A</w:t>
            </w:r>
          </w:p>
        </w:tc>
        <w:tc>
          <w:tcPr>
            <w:tcW w:w="728" w:type="dxa"/>
            <w:tcBorders>
              <w:top w:val="single" w:sz="4" w:space="0" w:color="808080"/>
              <w:left w:val="nil"/>
              <w:bottom w:val="single" w:sz="4" w:space="0" w:color="808080"/>
              <w:right w:val="single" w:sz="4" w:space="0" w:color="808080"/>
            </w:tcBorders>
          </w:tcPr>
          <w:p w:rsidR="00BD2FA9" w:rsidRDefault="00BD2FA9" w:rsidP="00BD2FA9">
            <w:pPr>
              <w:pStyle w:val="TAL"/>
              <w:jc w:val="center"/>
            </w:pPr>
            <w:r>
              <w:t>N/A</w:t>
            </w:r>
          </w:p>
        </w:tc>
      </w:tr>
    </w:tbl>
    <w:p w:rsidR="00BD2FA9" w:rsidRDefault="00BD2FA9" w:rsidP="00BD2FA9">
      <w:pPr>
        <w:rPr>
          <w:lang w:eastAsia="zh-CN"/>
        </w:rPr>
      </w:pPr>
    </w:p>
    <w:p w:rsidR="00BD2FA9" w:rsidRPr="00C32F05" w:rsidRDefault="00BD2FA9" w:rsidP="00C32F05">
      <w:pPr>
        <w:rPr>
          <w:lang w:val="en-GB" w:eastAsia="zh-CN"/>
        </w:rPr>
      </w:pPr>
      <w:r>
        <w:rPr>
          <w:rFonts w:hint="eastAsia"/>
          <w:lang w:val="en-GB" w:eastAsia="zh-CN"/>
        </w:rPr>
        <w:t>I</w:t>
      </w:r>
      <w:r>
        <w:rPr>
          <w:lang w:val="en-GB" w:eastAsia="zh-CN"/>
        </w:rPr>
        <w:t xml:space="preserve">t is observed that RAN2 has added clarification for this issue for some of the UE capabilities, e.g., </w:t>
      </w:r>
      <w:r w:rsidRPr="00BD2FA9">
        <w:rPr>
          <w:i/>
          <w:lang w:val="en-GB" w:eastAsia="zh-CN"/>
        </w:rPr>
        <w:t>aperiodicBeamReport</w:t>
      </w:r>
      <w:r>
        <w:rPr>
          <w:lang w:val="en-GB" w:eastAsia="zh-CN"/>
        </w:rPr>
        <w:t xml:space="preserve"> and </w:t>
      </w:r>
      <w:r w:rsidRPr="00BD2FA9">
        <w:rPr>
          <w:i/>
          <w:lang w:val="en-GB" w:eastAsia="zh-CN"/>
        </w:rPr>
        <w:t>beamReportTiming</w:t>
      </w:r>
      <w:r>
        <w:rPr>
          <w:lang w:val="en-GB" w:eastAsia="zh-CN"/>
        </w:rPr>
        <w:t xml:space="preserve"> as shown below. While for other UE capabilities associated with cross-carrier operation, </w:t>
      </w:r>
      <w:r w:rsidR="003A0FFB">
        <w:rPr>
          <w:lang w:val="en-GB" w:eastAsia="zh-CN"/>
        </w:rPr>
        <w:t>similar clarification is absent</w:t>
      </w:r>
      <w:r w:rsidR="00283005">
        <w:rPr>
          <w:lang w:val="en-GB" w:eastAsia="zh-CN"/>
        </w:rPr>
        <w:t xml:space="preserve"> in TS38.306</w:t>
      </w:r>
      <w:r w:rsidR="003A0FFB">
        <w:rPr>
          <w:lang w:val="en-GB" w:eastAsia="zh-CN"/>
        </w:rPr>
        <w:t>.</w:t>
      </w:r>
    </w:p>
    <w:tbl>
      <w:tblPr>
        <w:tblStyle w:val="3"/>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50834">
        <w:trPr>
          <w:cantSplit/>
        </w:trPr>
        <w:tc>
          <w:tcPr>
            <w:tcW w:w="6917" w:type="dxa"/>
            <w:tcBorders>
              <w:top w:val="single" w:sz="4" w:space="0" w:color="808080"/>
              <w:left w:val="single" w:sz="4" w:space="0" w:color="808080"/>
              <w:bottom w:val="single" w:sz="4" w:space="0" w:color="808080"/>
              <w:right w:val="single" w:sz="4" w:space="0" w:color="808080"/>
            </w:tcBorders>
          </w:tcPr>
          <w:p w:rsidR="00450834" w:rsidRDefault="00BD2FA9">
            <w:pPr>
              <w:pStyle w:val="TAL"/>
              <w:rPr>
                <w:rFonts w:eastAsia="Times New Roman"/>
                <w:b/>
                <w:bCs/>
                <w:i/>
                <w:iCs/>
                <w:lang w:eastAsia="zh-CN"/>
              </w:rPr>
            </w:pPr>
            <w:r>
              <w:rPr>
                <w:rFonts w:eastAsia="Times New Roman"/>
                <w:b/>
                <w:bCs/>
                <w:i/>
                <w:iCs/>
              </w:rPr>
              <w:lastRenderedPageBreak/>
              <w:t>aperiodicBeamReport</w:t>
            </w:r>
          </w:p>
          <w:p w:rsidR="00450834" w:rsidRDefault="00BD2FA9">
            <w:pPr>
              <w:pStyle w:val="TAL"/>
              <w:rPr>
                <w:rFonts w:eastAsia="Times New Roman"/>
              </w:rPr>
            </w:pPr>
            <w:r>
              <w:rPr>
                <w:rFonts w:eastAsia="Times New Roman"/>
              </w:rPr>
              <w:t xml:space="preserve">Indicates whether the UE supports aperiodic 'CRI/RSRP' or 'SSBRI/RSRP' reporting on PUSCH. </w:t>
            </w:r>
            <w:r>
              <w:rPr>
                <w:rFonts w:eastAsia="Times New Roman"/>
                <w:highlight w:val="green"/>
              </w:rPr>
              <w:t>The UE provides the capability for the band number for which the report is provided (where the measurement is performed).</w:t>
            </w:r>
          </w:p>
        </w:tc>
        <w:tc>
          <w:tcPr>
            <w:tcW w:w="709" w:type="dxa"/>
            <w:tcBorders>
              <w:top w:val="single" w:sz="4" w:space="0" w:color="808080"/>
              <w:left w:val="nil"/>
              <w:bottom w:val="single" w:sz="4" w:space="0" w:color="808080"/>
              <w:right w:val="single" w:sz="4" w:space="0" w:color="808080"/>
            </w:tcBorders>
          </w:tcPr>
          <w:p w:rsidR="00450834" w:rsidRDefault="00BD2FA9">
            <w:pPr>
              <w:pStyle w:val="TAL"/>
              <w:jc w:val="center"/>
              <w:rPr>
                <w:rFonts w:eastAsia="Times New Roman" w:cs="Arial"/>
              </w:rPr>
            </w:pPr>
            <w:r>
              <w:rPr>
                <w:rFonts w:eastAsia="Times New Roman"/>
              </w:rPr>
              <w:t>Band</w:t>
            </w:r>
          </w:p>
        </w:tc>
        <w:tc>
          <w:tcPr>
            <w:tcW w:w="567" w:type="dxa"/>
            <w:tcBorders>
              <w:top w:val="single" w:sz="4" w:space="0" w:color="808080"/>
              <w:left w:val="nil"/>
              <w:bottom w:val="single" w:sz="4" w:space="0" w:color="808080"/>
              <w:right w:val="single" w:sz="4" w:space="0" w:color="808080"/>
            </w:tcBorders>
          </w:tcPr>
          <w:p w:rsidR="00450834" w:rsidRDefault="00BD2FA9">
            <w:pPr>
              <w:pStyle w:val="TAL"/>
              <w:jc w:val="center"/>
              <w:rPr>
                <w:rFonts w:eastAsia="Times New Roman" w:cs="Arial"/>
              </w:rPr>
            </w:pPr>
            <w:r>
              <w:rPr>
                <w:rFonts w:eastAsia="Times New Roman"/>
              </w:rPr>
              <w:t>Yes</w:t>
            </w:r>
          </w:p>
        </w:tc>
        <w:tc>
          <w:tcPr>
            <w:tcW w:w="709" w:type="dxa"/>
            <w:tcBorders>
              <w:top w:val="single" w:sz="4" w:space="0" w:color="808080"/>
              <w:left w:val="nil"/>
              <w:bottom w:val="single" w:sz="4" w:space="0" w:color="808080"/>
              <w:right w:val="single" w:sz="4" w:space="0" w:color="808080"/>
            </w:tcBorders>
          </w:tcPr>
          <w:p w:rsidR="00450834" w:rsidRDefault="00C74CC4">
            <w:pPr>
              <w:pStyle w:val="TAL"/>
              <w:jc w:val="center"/>
              <w:rPr>
                <w:rFonts w:eastAsia="Times New Roman" w:cs="Arial"/>
              </w:rPr>
            </w:pPr>
            <w:r>
              <w:rPr>
                <w:rFonts w:cs="Arial"/>
              </w:rPr>
              <w:t>N/A</w:t>
            </w:r>
          </w:p>
        </w:tc>
        <w:tc>
          <w:tcPr>
            <w:tcW w:w="728" w:type="dxa"/>
            <w:tcBorders>
              <w:top w:val="single" w:sz="4" w:space="0" w:color="808080"/>
              <w:left w:val="nil"/>
              <w:bottom w:val="single" w:sz="4" w:space="0" w:color="808080"/>
              <w:right w:val="single" w:sz="4" w:space="0" w:color="808080"/>
            </w:tcBorders>
          </w:tcPr>
          <w:p w:rsidR="00450834" w:rsidRDefault="00C74CC4">
            <w:pPr>
              <w:pStyle w:val="TAL"/>
              <w:jc w:val="center"/>
              <w:rPr>
                <w:rFonts w:eastAsia="Times New Roman"/>
              </w:rPr>
            </w:pPr>
            <w:r>
              <w:rPr>
                <w:rFonts w:cs="Arial"/>
              </w:rPr>
              <w:t>N/A</w:t>
            </w:r>
          </w:p>
        </w:tc>
      </w:tr>
    </w:tbl>
    <w:p w:rsidR="00450834" w:rsidRDefault="00450834">
      <w:pPr>
        <w:rPr>
          <w:lang w:val="en-GB" w:eastAsia="zh-CN"/>
        </w:rPr>
      </w:pPr>
    </w:p>
    <w:tbl>
      <w:tblPr>
        <w:tblStyle w:val="3"/>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50834">
        <w:trPr>
          <w:cantSplit/>
        </w:trPr>
        <w:tc>
          <w:tcPr>
            <w:tcW w:w="6917" w:type="dxa"/>
            <w:tcBorders>
              <w:top w:val="single" w:sz="4" w:space="0" w:color="808080"/>
              <w:left w:val="single" w:sz="4" w:space="0" w:color="808080"/>
              <w:bottom w:val="single" w:sz="4" w:space="0" w:color="808080"/>
              <w:right w:val="single" w:sz="4" w:space="0" w:color="808080"/>
            </w:tcBorders>
          </w:tcPr>
          <w:p w:rsidR="00450834" w:rsidRDefault="00BD2FA9">
            <w:pPr>
              <w:pStyle w:val="TAL"/>
              <w:rPr>
                <w:rFonts w:eastAsia="Times New Roman"/>
                <w:b/>
                <w:bCs/>
                <w:i/>
                <w:iCs/>
                <w:lang w:eastAsia="zh-CN"/>
              </w:rPr>
            </w:pPr>
            <w:r>
              <w:rPr>
                <w:rFonts w:eastAsia="Times New Roman"/>
                <w:b/>
                <w:bCs/>
                <w:i/>
                <w:iCs/>
              </w:rPr>
              <w:t>beamReportTiming</w:t>
            </w:r>
          </w:p>
          <w:p w:rsidR="00450834" w:rsidRDefault="00BD2FA9">
            <w:pPr>
              <w:pStyle w:val="TAL"/>
              <w:rPr>
                <w:rFonts w:eastAsia="Times New Roman"/>
              </w:rPr>
            </w:pPr>
            <w:r>
              <w:rPr>
                <w:rFonts w:eastAsia="Times New Roman" w:cs="Arial"/>
              </w:rPr>
              <w:t xml:space="preserve">Indicates the number of OFDM symbols between the last symbol of SSB/CSI-RS and the first symbol of the transmission channel containing beam report. </w:t>
            </w:r>
            <w:r>
              <w:rPr>
                <w:rFonts w:eastAsia="Times New Roman" w:cs="Arial"/>
                <w:highlight w:val="green"/>
              </w:rPr>
              <w:t>The UE provides the capability for the band number for which the report is provided (where the measurement is performed).</w:t>
            </w:r>
            <w:r>
              <w:rPr>
                <w:rFonts w:eastAsia="Times New Roman" w:cs="Arial"/>
              </w:rPr>
              <w:t xml:space="preserve"> The UE includes this field for each supported sub-carrier spacing.</w:t>
            </w:r>
          </w:p>
        </w:tc>
        <w:tc>
          <w:tcPr>
            <w:tcW w:w="709" w:type="dxa"/>
            <w:tcBorders>
              <w:top w:val="single" w:sz="4" w:space="0" w:color="808080"/>
              <w:left w:val="nil"/>
              <w:bottom w:val="single" w:sz="4" w:space="0" w:color="808080"/>
              <w:right w:val="single" w:sz="4" w:space="0" w:color="808080"/>
            </w:tcBorders>
          </w:tcPr>
          <w:p w:rsidR="00450834" w:rsidRDefault="00BD2FA9">
            <w:pPr>
              <w:pStyle w:val="TAL"/>
              <w:jc w:val="center"/>
              <w:rPr>
                <w:rFonts w:eastAsia="Times New Roman"/>
              </w:rPr>
            </w:pPr>
            <w:r>
              <w:rPr>
                <w:rFonts w:eastAsia="Times New Roman" w:cs="Arial"/>
              </w:rPr>
              <w:t>Band</w:t>
            </w:r>
          </w:p>
        </w:tc>
        <w:tc>
          <w:tcPr>
            <w:tcW w:w="567" w:type="dxa"/>
            <w:tcBorders>
              <w:top w:val="single" w:sz="4" w:space="0" w:color="808080"/>
              <w:left w:val="nil"/>
              <w:bottom w:val="single" w:sz="4" w:space="0" w:color="808080"/>
              <w:right w:val="single" w:sz="4" w:space="0" w:color="808080"/>
            </w:tcBorders>
          </w:tcPr>
          <w:p w:rsidR="00450834" w:rsidRDefault="00BD2FA9">
            <w:pPr>
              <w:pStyle w:val="TAL"/>
              <w:jc w:val="center"/>
              <w:rPr>
                <w:rFonts w:eastAsia="Times New Roman"/>
              </w:rPr>
            </w:pPr>
            <w:r>
              <w:rPr>
                <w:rFonts w:eastAsia="Times New Roman" w:cs="Arial"/>
              </w:rPr>
              <w:t>Yes</w:t>
            </w:r>
          </w:p>
        </w:tc>
        <w:tc>
          <w:tcPr>
            <w:tcW w:w="709" w:type="dxa"/>
            <w:tcBorders>
              <w:top w:val="single" w:sz="4" w:space="0" w:color="808080"/>
              <w:left w:val="nil"/>
              <w:bottom w:val="single" w:sz="4" w:space="0" w:color="808080"/>
              <w:right w:val="single" w:sz="4" w:space="0" w:color="808080"/>
            </w:tcBorders>
          </w:tcPr>
          <w:p w:rsidR="00450834" w:rsidRDefault="00C74CC4">
            <w:pPr>
              <w:pStyle w:val="TAL"/>
              <w:jc w:val="center"/>
              <w:rPr>
                <w:rFonts w:eastAsia="Times New Roman"/>
              </w:rPr>
            </w:pPr>
            <w:r>
              <w:rPr>
                <w:rFonts w:cs="Arial"/>
              </w:rPr>
              <w:t>N/A</w:t>
            </w:r>
          </w:p>
        </w:tc>
        <w:tc>
          <w:tcPr>
            <w:tcW w:w="728" w:type="dxa"/>
            <w:tcBorders>
              <w:top w:val="single" w:sz="4" w:space="0" w:color="808080"/>
              <w:left w:val="nil"/>
              <w:bottom w:val="single" w:sz="4" w:space="0" w:color="808080"/>
              <w:right w:val="single" w:sz="4" w:space="0" w:color="808080"/>
            </w:tcBorders>
          </w:tcPr>
          <w:p w:rsidR="00450834" w:rsidRDefault="00C74CC4">
            <w:pPr>
              <w:pStyle w:val="TAL"/>
              <w:jc w:val="center"/>
              <w:rPr>
                <w:rFonts w:eastAsia="Times New Roman"/>
              </w:rPr>
            </w:pPr>
            <w:r>
              <w:rPr>
                <w:rFonts w:cs="Arial"/>
              </w:rPr>
              <w:t>N/A</w:t>
            </w:r>
          </w:p>
        </w:tc>
      </w:tr>
    </w:tbl>
    <w:p w:rsidR="00450834" w:rsidRDefault="00450834">
      <w:pPr>
        <w:rPr>
          <w:lang w:val="en-GB" w:eastAsia="zh-CN"/>
        </w:rPr>
      </w:pPr>
    </w:p>
    <w:p w:rsidR="00CF42D6" w:rsidRDefault="00CF42D6" w:rsidP="00CF42D6">
      <w:pPr>
        <w:pStyle w:val="Heading2"/>
        <w:rPr>
          <w:lang w:eastAsia="zh-CN"/>
        </w:rPr>
      </w:pPr>
      <w:r>
        <w:rPr>
          <w:rFonts w:hint="eastAsia"/>
          <w:lang w:eastAsia="zh-CN"/>
        </w:rPr>
        <w:t>A</w:t>
      </w:r>
      <w:r>
        <w:rPr>
          <w:lang w:eastAsia="zh-CN"/>
        </w:rPr>
        <w:t>nalysis</w:t>
      </w:r>
    </w:p>
    <w:p w:rsidR="00450834" w:rsidRDefault="003A0FFB">
      <w:pPr>
        <w:rPr>
          <w:lang w:val="en-GB" w:eastAsia="zh-CN"/>
        </w:rPr>
      </w:pPr>
      <w:r>
        <w:rPr>
          <w:lang w:val="en-GB" w:eastAsia="zh-CN"/>
        </w:rPr>
        <w:t>After checking the latest Rel-15 TS38.306, the following UE capabilities may need further clarification in case of cross-carrier operation. Below we provide our analysis and proposal for each of these UE capabilities.</w:t>
      </w:r>
      <w:r w:rsidR="00385A18">
        <w:rPr>
          <w:lang w:val="en-GB" w:eastAsia="zh-CN"/>
        </w:rPr>
        <w:t xml:space="preserve"> For better understanding, we try to reuse the same wording (i.e., the green highlighted part) as that in TS38.306.</w:t>
      </w:r>
    </w:p>
    <w:p w:rsidR="00997264" w:rsidRPr="00997264" w:rsidRDefault="00997264" w:rsidP="00997264">
      <w:pPr>
        <w:pStyle w:val="ListParagraph"/>
        <w:numPr>
          <w:ilvl w:val="0"/>
          <w:numId w:val="12"/>
        </w:numPr>
        <w:rPr>
          <w:b/>
          <w:u w:val="single"/>
          <w:lang w:eastAsia="zh-CN"/>
        </w:rPr>
      </w:pPr>
      <w:r w:rsidRPr="00997264">
        <w:rPr>
          <w:b/>
          <w:u w:val="single"/>
          <w:lang w:eastAsia="zh-CN"/>
        </w:rPr>
        <w:t>aperiodicTRS</w:t>
      </w:r>
    </w:p>
    <w:p w:rsidR="00450834" w:rsidRDefault="00664F10">
      <w:pPr>
        <w:rPr>
          <w:lang w:val="en-GB" w:eastAsia="zh-CN"/>
        </w:rPr>
      </w:pPr>
      <w:r>
        <w:rPr>
          <w:rFonts w:hint="eastAsia"/>
          <w:lang w:val="en-GB" w:eastAsia="zh-CN"/>
        </w:rPr>
        <w:t>F</w:t>
      </w:r>
      <w:r>
        <w:rPr>
          <w:lang w:val="en-GB" w:eastAsia="zh-CN"/>
        </w:rPr>
        <w:t xml:space="preserve">or </w:t>
      </w:r>
      <w:r w:rsidRPr="00664F10">
        <w:rPr>
          <w:i/>
          <w:lang w:val="en-GB" w:eastAsia="zh-CN"/>
        </w:rPr>
        <w:t>aperiodicTRS</w:t>
      </w:r>
      <w:r>
        <w:rPr>
          <w:lang w:val="en-GB" w:eastAsia="zh-CN"/>
        </w:rPr>
        <w:t>, this UE capability is used to i</w:t>
      </w:r>
      <w:r w:rsidRPr="00664F10">
        <w:rPr>
          <w:lang w:val="en-GB" w:eastAsia="zh-CN"/>
        </w:rPr>
        <w:t>ndicate whether the UE supports DCI triggering aperiodic TRS associated with periodic TRS.</w:t>
      </w:r>
      <w:r>
        <w:rPr>
          <w:lang w:val="en-GB" w:eastAsia="zh-CN"/>
        </w:rPr>
        <w:t xml:space="preserve"> </w:t>
      </w:r>
      <w:r w:rsidR="00423759">
        <w:rPr>
          <w:lang w:val="en-GB" w:eastAsia="zh-CN"/>
        </w:rPr>
        <w:t xml:space="preserve">The DCI triggering aperiodic TRS and the triggered TRS could be in different bands. </w:t>
      </w:r>
      <w:r>
        <w:rPr>
          <w:lang w:val="en-GB" w:eastAsia="zh-CN"/>
        </w:rPr>
        <w:t xml:space="preserve">From our understanding, UE capability </w:t>
      </w:r>
      <w:r w:rsidRPr="00664F10">
        <w:rPr>
          <w:i/>
          <w:lang w:val="en-GB" w:eastAsia="zh-CN"/>
        </w:rPr>
        <w:t>aperiodicTRS</w:t>
      </w:r>
      <w:r>
        <w:rPr>
          <w:lang w:val="en-GB" w:eastAsia="zh-CN"/>
        </w:rPr>
        <w:t xml:space="preserve"> is more related to the </w:t>
      </w:r>
      <w:r w:rsidR="00385A18">
        <w:rPr>
          <w:lang w:val="en-GB" w:eastAsia="zh-CN"/>
        </w:rPr>
        <w:t xml:space="preserve">band transmitting TRS. Thus, the </w:t>
      </w:r>
      <w:r w:rsidR="00385A18" w:rsidRPr="00385A18">
        <w:rPr>
          <w:lang w:val="en-GB" w:eastAsia="zh-CN"/>
        </w:rPr>
        <w:t xml:space="preserve">UE provides the capability </w:t>
      </w:r>
      <w:r w:rsidR="00385A18" w:rsidRPr="00664F10">
        <w:rPr>
          <w:i/>
          <w:lang w:val="en-GB" w:eastAsia="zh-CN"/>
        </w:rPr>
        <w:t>aperiodicTRS</w:t>
      </w:r>
      <w:r w:rsidR="00385A18" w:rsidRPr="00385A18">
        <w:rPr>
          <w:lang w:val="en-GB" w:eastAsia="zh-CN"/>
        </w:rPr>
        <w:t xml:space="preserve"> for the band number for which the </w:t>
      </w:r>
      <w:r w:rsidR="00385A18">
        <w:rPr>
          <w:lang w:val="en-GB" w:eastAsia="zh-CN"/>
        </w:rPr>
        <w:t>triggered TRS</w:t>
      </w:r>
      <w:r w:rsidR="00385A18" w:rsidRPr="00385A18">
        <w:rPr>
          <w:lang w:val="en-GB" w:eastAsia="zh-CN"/>
        </w:rPr>
        <w:t xml:space="preserve"> is </w:t>
      </w:r>
      <w:r w:rsidR="00385A18">
        <w:rPr>
          <w:lang w:val="en-GB" w:eastAsia="zh-CN"/>
        </w:rPr>
        <w:t>transmitted.</w:t>
      </w:r>
      <w:r w:rsidR="00A46643">
        <w:rPr>
          <w:lang w:val="en-GB" w:eastAsia="zh-CN"/>
        </w:rPr>
        <w:t xml:space="preserve"> In other words, support of </w:t>
      </w:r>
      <w:r w:rsidR="00A46643" w:rsidRPr="00A46643">
        <w:rPr>
          <w:i/>
          <w:lang w:val="en-GB" w:eastAsia="zh-CN"/>
        </w:rPr>
        <w:t>aperiodicTRS</w:t>
      </w:r>
      <w:r w:rsidR="00A46643">
        <w:rPr>
          <w:lang w:val="en-GB" w:eastAsia="zh-CN"/>
        </w:rPr>
        <w:t xml:space="preserve"> is based on </w:t>
      </w:r>
      <w:r w:rsidR="00A46643" w:rsidRPr="00A46643">
        <w:rPr>
          <w:lang w:val="en-GB" w:eastAsia="zh-CN"/>
        </w:rPr>
        <w:t>the support of this feature for the scheduled/triggered/indicated cell only</w:t>
      </w:r>
      <w:r w:rsidR="00A46643">
        <w:rPr>
          <w:lang w:val="en-GB" w:eastAsia="zh-CN"/>
        </w:rPr>
        <w:t>.</w:t>
      </w:r>
    </w:p>
    <w:tbl>
      <w:tblPr>
        <w:tblStyle w:val="3"/>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50834">
        <w:trPr>
          <w:cantSplit/>
        </w:trPr>
        <w:tc>
          <w:tcPr>
            <w:tcW w:w="6917" w:type="dxa"/>
            <w:tcBorders>
              <w:top w:val="single" w:sz="4" w:space="0" w:color="808080"/>
              <w:left w:val="single" w:sz="4" w:space="0" w:color="808080"/>
              <w:bottom w:val="single" w:sz="4" w:space="0" w:color="808080"/>
              <w:right w:val="single" w:sz="4" w:space="0" w:color="808080"/>
            </w:tcBorders>
          </w:tcPr>
          <w:p w:rsidR="00450834" w:rsidRDefault="00BD2FA9">
            <w:pPr>
              <w:pStyle w:val="TAL"/>
              <w:rPr>
                <w:rFonts w:eastAsia="Times New Roman"/>
                <w:b/>
                <w:bCs/>
                <w:i/>
                <w:iCs/>
                <w:lang w:eastAsia="zh-CN"/>
              </w:rPr>
            </w:pPr>
            <w:r>
              <w:rPr>
                <w:rFonts w:eastAsia="Times New Roman"/>
                <w:b/>
                <w:bCs/>
                <w:i/>
                <w:iCs/>
              </w:rPr>
              <w:t>aperiodicTRS</w:t>
            </w:r>
          </w:p>
          <w:p w:rsidR="00450834" w:rsidRDefault="00BD2FA9">
            <w:pPr>
              <w:pStyle w:val="TAL"/>
              <w:rPr>
                <w:rFonts w:eastAsia="Times New Roman"/>
              </w:rPr>
            </w:pPr>
            <w:r>
              <w:rPr>
                <w:rFonts w:eastAsia="Times New Roman" w:cs="Arial"/>
              </w:rPr>
              <w:t>Indicates whether the UE supports DCI triggering aperiodic TRS associated with periodic TRS.</w:t>
            </w:r>
          </w:p>
        </w:tc>
        <w:tc>
          <w:tcPr>
            <w:tcW w:w="709" w:type="dxa"/>
            <w:tcBorders>
              <w:top w:val="single" w:sz="4" w:space="0" w:color="808080"/>
              <w:left w:val="nil"/>
              <w:bottom w:val="single" w:sz="4" w:space="0" w:color="808080"/>
              <w:right w:val="single" w:sz="4" w:space="0" w:color="808080"/>
            </w:tcBorders>
          </w:tcPr>
          <w:p w:rsidR="00450834" w:rsidRDefault="00BD2FA9">
            <w:pPr>
              <w:pStyle w:val="TAL"/>
              <w:jc w:val="center"/>
              <w:rPr>
                <w:rFonts w:eastAsia="Times New Roman"/>
              </w:rPr>
            </w:pPr>
            <w:r>
              <w:rPr>
                <w:rFonts w:eastAsia="Times New Roman" w:cs="Arial"/>
              </w:rPr>
              <w:t>Band</w:t>
            </w:r>
          </w:p>
        </w:tc>
        <w:tc>
          <w:tcPr>
            <w:tcW w:w="567" w:type="dxa"/>
            <w:tcBorders>
              <w:top w:val="single" w:sz="4" w:space="0" w:color="808080"/>
              <w:left w:val="nil"/>
              <w:bottom w:val="single" w:sz="4" w:space="0" w:color="808080"/>
              <w:right w:val="single" w:sz="4" w:space="0" w:color="808080"/>
            </w:tcBorders>
          </w:tcPr>
          <w:p w:rsidR="00450834" w:rsidRDefault="00BD2FA9">
            <w:pPr>
              <w:pStyle w:val="TAL"/>
              <w:jc w:val="center"/>
              <w:rPr>
                <w:rFonts w:eastAsia="Times New Roman"/>
              </w:rPr>
            </w:pPr>
            <w:r>
              <w:rPr>
                <w:rFonts w:eastAsia="Times New Roman" w:cs="Arial"/>
              </w:rPr>
              <w:t>No</w:t>
            </w:r>
          </w:p>
        </w:tc>
        <w:tc>
          <w:tcPr>
            <w:tcW w:w="709" w:type="dxa"/>
            <w:tcBorders>
              <w:top w:val="single" w:sz="4" w:space="0" w:color="808080"/>
              <w:left w:val="nil"/>
              <w:bottom w:val="single" w:sz="4" w:space="0" w:color="808080"/>
              <w:right w:val="single" w:sz="4" w:space="0" w:color="808080"/>
            </w:tcBorders>
          </w:tcPr>
          <w:p w:rsidR="00450834" w:rsidRDefault="00C74CC4">
            <w:pPr>
              <w:pStyle w:val="TAL"/>
              <w:jc w:val="center"/>
              <w:rPr>
                <w:rFonts w:eastAsia="Times New Roman"/>
              </w:rPr>
            </w:pPr>
            <w:r>
              <w:rPr>
                <w:rFonts w:cs="Arial"/>
              </w:rPr>
              <w:t>N/A</w:t>
            </w:r>
          </w:p>
        </w:tc>
        <w:tc>
          <w:tcPr>
            <w:tcW w:w="728" w:type="dxa"/>
            <w:tcBorders>
              <w:top w:val="single" w:sz="4" w:space="0" w:color="808080"/>
              <w:left w:val="nil"/>
              <w:bottom w:val="single" w:sz="4" w:space="0" w:color="808080"/>
              <w:right w:val="single" w:sz="4" w:space="0" w:color="808080"/>
            </w:tcBorders>
          </w:tcPr>
          <w:p w:rsidR="00450834" w:rsidRDefault="00C74CC4">
            <w:pPr>
              <w:pStyle w:val="TAL"/>
              <w:jc w:val="center"/>
              <w:rPr>
                <w:rFonts w:eastAsia="Times New Roman"/>
              </w:rPr>
            </w:pPr>
            <w:r>
              <w:rPr>
                <w:rFonts w:cs="Arial"/>
              </w:rPr>
              <w:t>N/A</w:t>
            </w:r>
          </w:p>
        </w:tc>
      </w:tr>
    </w:tbl>
    <w:p w:rsidR="00450834" w:rsidRDefault="00450834">
      <w:pPr>
        <w:rPr>
          <w:lang w:val="en-GB" w:eastAsia="zh-CN"/>
        </w:rPr>
      </w:pPr>
    </w:p>
    <w:p w:rsidR="00997264" w:rsidRPr="00997264" w:rsidRDefault="00997264" w:rsidP="00997264">
      <w:pPr>
        <w:pStyle w:val="ListParagraph"/>
        <w:numPr>
          <w:ilvl w:val="0"/>
          <w:numId w:val="12"/>
        </w:numPr>
        <w:rPr>
          <w:b/>
          <w:u w:val="single"/>
          <w:lang w:eastAsia="zh-CN"/>
        </w:rPr>
      </w:pPr>
      <w:r w:rsidRPr="00997264">
        <w:rPr>
          <w:b/>
          <w:u w:val="single"/>
          <w:lang w:eastAsia="zh-CN"/>
        </w:rPr>
        <w:t>beamSwitchTiming</w:t>
      </w:r>
    </w:p>
    <w:p w:rsidR="00664F10" w:rsidRPr="003A50B4" w:rsidRDefault="00385A18">
      <w:pPr>
        <w:rPr>
          <w:lang w:val="en-GB" w:eastAsia="zh-CN"/>
        </w:rPr>
      </w:pPr>
      <w:r>
        <w:rPr>
          <w:rFonts w:hint="eastAsia"/>
          <w:lang w:val="en-GB" w:eastAsia="zh-CN"/>
        </w:rPr>
        <w:t>F</w:t>
      </w:r>
      <w:r>
        <w:rPr>
          <w:lang w:val="en-GB" w:eastAsia="zh-CN"/>
        </w:rPr>
        <w:t xml:space="preserve">or </w:t>
      </w:r>
      <w:r w:rsidRPr="00385A18">
        <w:rPr>
          <w:i/>
          <w:lang w:val="en-GB" w:eastAsia="zh-CN"/>
        </w:rPr>
        <w:t>beamSwitchTiming</w:t>
      </w:r>
      <w:r>
        <w:rPr>
          <w:lang w:val="en-GB" w:eastAsia="zh-CN"/>
        </w:rPr>
        <w:t xml:space="preserve">, this UE capability is used to indicate </w:t>
      </w:r>
      <w:r w:rsidRPr="00385A18">
        <w:rPr>
          <w:lang w:val="en-GB" w:eastAsia="zh-CN"/>
        </w:rPr>
        <w:t>the minimum number of OFDM symbols between the DCI triggering of aperiodic CSI-RS and aperiodic CSI-RS transmission</w:t>
      </w:r>
      <w:r>
        <w:rPr>
          <w:lang w:val="en-GB" w:eastAsia="zh-CN"/>
        </w:rPr>
        <w:t xml:space="preserve">. </w:t>
      </w:r>
      <w:r w:rsidR="00BB4DEB">
        <w:rPr>
          <w:lang w:val="en-GB" w:eastAsia="zh-CN"/>
        </w:rPr>
        <w:t xml:space="preserve">The DCI triggering aperiodic CSI-RS and the triggered CSI-RS can be in different bands. </w:t>
      </w:r>
      <w:r>
        <w:rPr>
          <w:lang w:val="en-GB" w:eastAsia="zh-CN"/>
        </w:rPr>
        <w:t xml:space="preserve">From our understanding, UE capability </w:t>
      </w:r>
      <w:r w:rsidRPr="00385A18">
        <w:rPr>
          <w:i/>
          <w:lang w:val="en-GB" w:eastAsia="zh-CN"/>
        </w:rPr>
        <w:t>beamSwitchTiming</w:t>
      </w:r>
      <w:r>
        <w:rPr>
          <w:lang w:val="en-GB" w:eastAsia="zh-CN"/>
        </w:rPr>
        <w:t xml:space="preserve"> is more related to the band transmitting CSI-RS. Thus, the </w:t>
      </w:r>
      <w:r w:rsidRPr="00385A18">
        <w:rPr>
          <w:lang w:val="en-GB" w:eastAsia="zh-CN"/>
        </w:rPr>
        <w:t xml:space="preserve">UE provides the capability </w:t>
      </w:r>
      <w:r w:rsidRPr="00385A18">
        <w:rPr>
          <w:i/>
          <w:lang w:val="en-GB" w:eastAsia="zh-CN"/>
        </w:rPr>
        <w:t>beamSwitchTiming</w:t>
      </w:r>
      <w:r>
        <w:rPr>
          <w:lang w:val="en-GB" w:eastAsia="zh-CN"/>
        </w:rPr>
        <w:t xml:space="preserve"> </w:t>
      </w:r>
      <w:r w:rsidRPr="00385A18">
        <w:rPr>
          <w:lang w:val="en-GB" w:eastAsia="zh-CN"/>
        </w:rPr>
        <w:t xml:space="preserve">for the band number for which the </w:t>
      </w:r>
      <w:r>
        <w:rPr>
          <w:lang w:val="en-GB" w:eastAsia="zh-CN"/>
        </w:rPr>
        <w:t>triggered CSI-RS</w:t>
      </w:r>
      <w:r w:rsidRPr="00385A18">
        <w:rPr>
          <w:lang w:val="en-GB" w:eastAsia="zh-CN"/>
        </w:rPr>
        <w:t xml:space="preserve"> is </w:t>
      </w:r>
      <w:r>
        <w:rPr>
          <w:lang w:val="en-GB" w:eastAsia="zh-CN"/>
        </w:rPr>
        <w:t>transmitted.</w:t>
      </w:r>
      <w:r w:rsidR="003A50B4">
        <w:rPr>
          <w:lang w:val="en-GB" w:eastAsia="zh-CN"/>
        </w:rPr>
        <w:t xml:space="preserve"> In other words, support of </w:t>
      </w:r>
      <w:r w:rsidR="003A50B4" w:rsidRPr="00385A18">
        <w:rPr>
          <w:i/>
          <w:lang w:val="en-GB" w:eastAsia="zh-CN"/>
        </w:rPr>
        <w:t>beamSwitchTiming</w:t>
      </w:r>
      <w:r w:rsidR="003A50B4">
        <w:rPr>
          <w:lang w:val="en-GB" w:eastAsia="zh-CN"/>
        </w:rPr>
        <w:t xml:space="preserve"> is based on </w:t>
      </w:r>
      <w:r w:rsidR="003A50B4" w:rsidRPr="00A46643">
        <w:rPr>
          <w:lang w:val="en-GB" w:eastAsia="zh-CN"/>
        </w:rPr>
        <w:t>the support of this feature for the scheduled/triggered/indicated cell only</w:t>
      </w:r>
      <w:r w:rsidR="003A50B4">
        <w:rPr>
          <w:lang w:val="en-GB" w:eastAsia="zh-CN"/>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50834">
        <w:trPr>
          <w:cantSplit/>
          <w:tblHeader/>
        </w:trPr>
        <w:tc>
          <w:tcPr>
            <w:tcW w:w="6917" w:type="dxa"/>
          </w:tcPr>
          <w:p w:rsidR="00450834" w:rsidRDefault="00BD2FA9">
            <w:pPr>
              <w:pStyle w:val="TAL"/>
              <w:rPr>
                <w:b/>
                <w:i/>
              </w:rPr>
            </w:pPr>
            <w:r>
              <w:rPr>
                <w:b/>
                <w:i/>
              </w:rPr>
              <w:t>beamSwitchTiming</w:t>
            </w:r>
          </w:p>
          <w:p w:rsidR="00450834" w:rsidRDefault="00BD2FA9">
            <w:pPr>
              <w:pStyle w:val="TAL"/>
            </w:pPr>
            <w: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450834" w:rsidRDefault="00BD2FA9">
            <w:pPr>
              <w:pStyle w:val="TAL"/>
              <w:jc w:val="center"/>
              <w:rPr>
                <w:lang w:eastAsia="ja-JP"/>
              </w:rPr>
            </w:pPr>
            <w:r>
              <w:rPr>
                <w:lang w:eastAsia="ja-JP"/>
              </w:rPr>
              <w:t>Band</w:t>
            </w:r>
          </w:p>
        </w:tc>
        <w:tc>
          <w:tcPr>
            <w:tcW w:w="567" w:type="dxa"/>
          </w:tcPr>
          <w:p w:rsidR="00450834" w:rsidRDefault="00BD2FA9">
            <w:pPr>
              <w:pStyle w:val="TAL"/>
              <w:jc w:val="center"/>
            </w:pPr>
            <w:r>
              <w:t>No</w:t>
            </w:r>
          </w:p>
        </w:tc>
        <w:tc>
          <w:tcPr>
            <w:tcW w:w="709" w:type="dxa"/>
          </w:tcPr>
          <w:p w:rsidR="00450834" w:rsidRDefault="00C74CC4">
            <w:pPr>
              <w:pStyle w:val="TAL"/>
              <w:jc w:val="center"/>
              <w:rPr>
                <w:lang w:eastAsia="ja-JP"/>
              </w:rPr>
            </w:pPr>
            <w:r>
              <w:rPr>
                <w:rFonts w:cs="Arial"/>
              </w:rPr>
              <w:t>N/A</w:t>
            </w:r>
          </w:p>
        </w:tc>
        <w:tc>
          <w:tcPr>
            <w:tcW w:w="728" w:type="dxa"/>
          </w:tcPr>
          <w:p w:rsidR="00450834" w:rsidRDefault="00BD2FA9">
            <w:pPr>
              <w:pStyle w:val="TAL"/>
              <w:jc w:val="center"/>
            </w:pPr>
            <w:r>
              <w:t>FR2 only</w:t>
            </w:r>
          </w:p>
        </w:tc>
      </w:tr>
    </w:tbl>
    <w:p w:rsidR="00450834" w:rsidRDefault="00450834">
      <w:pPr>
        <w:rPr>
          <w:lang w:val="en-GB" w:eastAsia="zh-CN"/>
        </w:rPr>
      </w:pPr>
    </w:p>
    <w:p w:rsidR="005F723F" w:rsidRPr="00784775" w:rsidRDefault="00784775" w:rsidP="00784775">
      <w:pPr>
        <w:pStyle w:val="ListParagraph"/>
        <w:numPr>
          <w:ilvl w:val="0"/>
          <w:numId w:val="12"/>
        </w:numPr>
        <w:rPr>
          <w:b/>
          <w:u w:val="single"/>
          <w:lang w:eastAsia="zh-CN"/>
        </w:rPr>
      </w:pPr>
      <w:r w:rsidRPr="00784775">
        <w:rPr>
          <w:b/>
          <w:u w:val="single"/>
          <w:lang w:eastAsia="zh-CN"/>
        </w:rPr>
        <w:t>ue-SpecificUL-DL-Assignment</w:t>
      </w:r>
    </w:p>
    <w:p w:rsidR="005F723F" w:rsidRPr="008D115E" w:rsidRDefault="005F723F" w:rsidP="008D115E">
      <w:pPr>
        <w:rPr>
          <w:lang w:val="en-GB" w:eastAsia="zh-CN"/>
        </w:rPr>
      </w:pPr>
      <w:r>
        <w:rPr>
          <w:lang w:val="en-GB" w:eastAsia="zh-CN"/>
        </w:rPr>
        <w:t xml:space="preserve">For </w:t>
      </w:r>
      <w:r w:rsidRPr="005F723F">
        <w:rPr>
          <w:i/>
          <w:lang w:val="en-GB" w:eastAsia="zh-CN"/>
        </w:rPr>
        <w:t>ue-SpecificUL-DL-Assignment</w:t>
      </w:r>
      <w:r>
        <w:rPr>
          <w:lang w:val="en-GB" w:eastAsia="zh-CN"/>
        </w:rPr>
        <w:t xml:space="preserve">, this UE capability is used to </w:t>
      </w:r>
      <w:r w:rsidRPr="005F723F">
        <w:rPr>
          <w:lang w:val="en-GB" w:eastAsia="zh-CN"/>
        </w:rPr>
        <w:t>Indicates whether the UE supports dynamic determination of UL and DL link direction and slot format based on Layer 1 scheduling DCI and higher layer configured parameter UL-DL-configuration-dedicated</w:t>
      </w:r>
      <w:r>
        <w:rPr>
          <w:lang w:val="en-GB" w:eastAsia="zh-CN"/>
        </w:rPr>
        <w:t xml:space="preserve">. The Layer 1 scheduling DCI could be in the different band from the band applying the UL/DL link direction. As this UE capability is mainly for the cell applying the UL/DL link direction, </w:t>
      </w:r>
      <w:r w:rsidRPr="005F723F">
        <w:rPr>
          <w:lang w:val="en-GB" w:eastAsia="zh-CN"/>
        </w:rPr>
        <w:t xml:space="preserve">the UE provides the capability </w:t>
      </w:r>
      <w:r w:rsidRPr="005F723F">
        <w:rPr>
          <w:i/>
          <w:lang w:val="en-GB" w:eastAsia="zh-CN"/>
        </w:rPr>
        <w:t>ue-SpecificUL-DL-Assignment</w:t>
      </w:r>
      <w:r w:rsidRPr="005F723F">
        <w:rPr>
          <w:lang w:val="en-GB" w:eastAsia="zh-CN"/>
        </w:rPr>
        <w:t xml:space="preserve"> for </w:t>
      </w:r>
      <w:r>
        <w:rPr>
          <w:lang w:val="en-GB" w:eastAsia="zh-CN"/>
        </w:rPr>
        <w:t xml:space="preserve">DL feature set of </w:t>
      </w:r>
      <w:r w:rsidRPr="005F723F">
        <w:rPr>
          <w:lang w:val="en-GB" w:eastAsia="zh-CN"/>
        </w:rPr>
        <w:t xml:space="preserve">the band number for which the </w:t>
      </w:r>
      <w:r>
        <w:rPr>
          <w:lang w:val="en-GB" w:eastAsia="zh-CN"/>
        </w:rPr>
        <w:t>UL/DL link direction</w:t>
      </w:r>
      <w:r w:rsidRPr="005F723F">
        <w:rPr>
          <w:lang w:val="en-GB" w:eastAsia="zh-CN"/>
        </w:rPr>
        <w:t xml:space="preserve"> is </w:t>
      </w:r>
      <w:r>
        <w:rPr>
          <w:lang w:val="en-GB" w:eastAsia="zh-CN"/>
        </w:rPr>
        <w:t>applied.</w:t>
      </w:r>
      <w:r w:rsidR="00400E46">
        <w:rPr>
          <w:lang w:val="en-GB" w:eastAsia="zh-CN"/>
        </w:rPr>
        <w:t xml:space="preserve"> In other words, support of </w:t>
      </w:r>
      <w:r w:rsidR="00400E46" w:rsidRPr="005F723F">
        <w:rPr>
          <w:i/>
          <w:lang w:val="en-GB" w:eastAsia="zh-CN"/>
        </w:rPr>
        <w:t>ue-SpecificUL-DL-Assignment</w:t>
      </w:r>
      <w:r w:rsidR="00400E46">
        <w:rPr>
          <w:lang w:val="en-GB" w:eastAsia="zh-CN"/>
        </w:rPr>
        <w:t xml:space="preserve"> is based on </w:t>
      </w:r>
      <w:r w:rsidR="00400E46" w:rsidRPr="00A46643">
        <w:rPr>
          <w:lang w:val="en-GB" w:eastAsia="zh-CN"/>
        </w:rPr>
        <w:t>the support of this feature for the scheduled/triggered/indicated cell only</w:t>
      </w:r>
      <w:r w:rsidR="00400E46">
        <w:rPr>
          <w:lang w:val="en-GB" w:eastAsia="zh-CN"/>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F723F" w:rsidTr="008D115E">
        <w:trPr>
          <w:cantSplit/>
          <w:tblHeader/>
        </w:trPr>
        <w:tc>
          <w:tcPr>
            <w:tcW w:w="6917" w:type="dxa"/>
          </w:tcPr>
          <w:p w:rsidR="005F723F" w:rsidRDefault="005F723F" w:rsidP="008D115E">
            <w:pPr>
              <w:pStyle w:val="TAL"/>
              <w:rPr>
                <w:b/>
                <w:i/>
              </w:rPr>
            </w:pPr>
            <w:r>
              <w:rPr>
                <w:b/>
                <w:i/>
              </w:rPr>
              <w:t>ue-SpecificUL-DL-Assignment</w:t>
            </w:r>
          </w:p>
          <w:p w:rsidR="005F723F" w:rsidRDefault="005F723F" w:rsidP="008D115E">
            <w:pPr>
              <w:pStyle w:val="TAL"/>
            </w:pPr>
            <w:r>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rsidR="005F723F" w:rsidRDefault="005F723F" w:rsidP="008D115E">
            <w:pPr>
              <w:pStyle w:val="TAL"/>
              <w:jc w:val="center"/>
            </w:pPr>
            <w:r>
              <w:t>FS</w:t>
            </w:r>
          </w:p>
        </w:tc>
        <w:tc>
          <w:tcPr>
            <w:tcW w:w="567" w:type="dxa"/>
          </w:tcPr>
          <w:p w:rsidR="005F723F" w:rsidRDefault="005F723F" w:rsidP="008D115E">
            <w:pPr>
              <w:pStyle w:val="TAL"/>
              <w:jc w:val="center"/>
            </w:pPr>
            <w:r>
              <w:t>No</w:t>
            </w:r>
          </w:p>
        </w:tc>
        <w:tc>
          <w:tcPr>
            <w:tcW w:w="709" w:type="dxa"/>
          </w:tcPr>
          <w:p w:rsidR="005F723F" w:rsidRDefault="00C74CC4" w:rsidP="008D115E">
            <w:pPr>
              <w:pStyle w:val="TAL"/>
              <w:jc w:val="center"/>
            </w:pPr>
            <w:r>
              <w:rPr>
                <w:rFonts w:cs="Arial"/>
              </w:rPr>
              <w:t>N/A</w:t>
            </w:r>
          </w:p>
        </w:tc>
        <w:tc>
          <w:tcPr>
            <w:tcW w:w="728" w:type="dxa"/>
          </w:tcPr>
          <w:p w:rsidR="005F723F" w:rsidRDefault="00C74CC4" w:rsidP="008D115E">
            <w:pPr>
              <w:pStyle w:val="TAL"/>
              <w:jc w:val="center"/>
            </w:pPr>
            <w:r>
              <w:rPr>
                <w:rFonts w:cs="Arial"/>
              </w:rPr>
              <w:t>N/A</w:t>
            </w:r>
          </w:p>
        </w:tc>
      </w:tr>
    </w:tbl>
    <w:p w:rsidR="005F723F" w:rsidRDefault="005F723F">
      <w:pPr>
        <w:rPr>
          <w:lang w:val="en-GB" w:eastAsia="zh-CN"/>
        </w:rPr>
      </w:pPr>
    </w:p>
    <w:p w:rsidR="00423759" w:rsidRPr="00400E46" w:rsidRDefault="00400E46" w:rsidP="00400E46">
      <w:pPr>
        <w:pStyle w:val="ListParagraph"/>
        <w:numPr>
          <w:ilvl w:val="0"/>
          <w:numId w:val="12"/>
        </w:numPr>
        <w:rPr>
          <w:b/>
          <w:u w:val="single"/>
          <w:lang w:eastAsia="zh-CN"/>
        </w:rPr>
      </w:pPr>
      <w:r w:rsidRPr="00400E46">
        <w:rPr>
          <w:b/>
          <w:u w:val="single"/>
          <w:lang w:eastAsia="zh-CN"/>
        </w:rPr>
        <w:t>bwp-DiffNumerology / bwp-SameNumerology</w:t>
      </w:r>
    </w:p>
    <w:p w:rsidR="00400E46" w:rsidRPr="008D115E" w:rsidRDefault="00400E46" w:rsidP="00423759">
      <w:pPr>
        <w:rPr>
          <w:lang w:val="en-GB" w:eastAsia="zh-CN"/>
        </w:rPr>
      </w:pPr>
      <w:r>
        <w:rPr>
          <w:lang w:val="en-GB" w:eastAsia="zh-CN"/>
        </w:rPr>
        <w:lastRenderedPageBreak/>
        <w:t>These two capabilities are used to i</w:t>
      </w:r>
      <w:r w:rsidRPr="00400E46">
        <w:rPr>
          <w:lang w:val="en-GB" w:eastAsia="zh-CN"/>
        </w:rPr>
        <w:t>ndicate whether the UE supports BWP adaptation up to 4 BWPs with the different</w:t>
      </w:r>
      <w:r>
        <w:rPr>
          <w:lang w:val="en-GB" w:eastAsia="zh-CN"/>
        </w:rPr>
        <w:t>/same</w:t>
      </w:r>
      <w:r w:rsidRPr="00400E46">
        <w:rPr>
          <w:lang w:val="en-GB" w:eastAsia="zh-CN"/>
        </w:rPr>
        <w:t xml:space="preserve"> numerologies, via DCI and timer</w:t>
      </w:r>
      <w:r>
        <w:rPr>
          <w:lang w:val="en-GB" w:eastAsia="zh-CN"/>
        </w:rPr>
        <w:t xml:space="preserve">. The DCI triggering BWP switch and the target cell can be in different bands. From our perspective, these two UE capabilities are mainly related to the target band, thus the </w:t>
      </w:r>
      <w:r w:rsidRPr="00385A18">
        <w:rPr>
          <w:lang w:val="en-GB" w:eastAsia="zh-CN"/>
        </w:rPr>
        <w:t xml:space="preserve">UE provides the capability </w:t>
      </w:r>
      <w:r w:rsidRPr="00400E46">
        <w:rPr>
          <w:i/>
          <w:lang w:val="en-GB" w:eastAsia="zh-CN"/>
        </w:rPr>
        <w:t>bwp-DiffNumerology / bwp-SameNumerology</w:t>
      </w:r>
      <w:r>
        <w:rPr>
          <w:i/>
          <w:lang w:val="en-GB" w:eastAsia="zh-CN"/>
        </w:rPr>
        <w:t xml:space="preserve"> </w:t>
      </w:r>
      <w:r w:rsidRPr="00385A18">
        <w:rPr>
          <w:lang w:val="en-GB" w:eastAsia="zh-CN"/>
        </w:rPr>
        <w:t xml:space="preserve">for the band number for which the </w:t>
      </w:r>
      <w:r>
        <w:rPr>
          <w:lang w:val="en-GB" w:eastAsia="zh-CN"/>
        </w:rPr>
        <w:t>BWP</w:t>
      </w:r>
      <w:r w:rsidRPr="00385A18">
        <w:rPr>
          <w:lang w:val="en-GB" w:eastAsia="zh-CN"/>
        </w:rPr>
        <w:t xml:space="preserve"> is </w:t>
      </w:r>
      <w:r>
        <w:rPr>
          <w:lang w:val="en-GB" w:eastAsia="zh-CN"/>
        </w:rPr>
        <w:t xml:space="preserve">switched. In other words, support of </w:t>
      </w:r>
      <w:r w:rsidRPr="00400E46">
        <w:rPr>
          <w:i/>
          <w:lang w:val="en-GB" w:eastAsia="zh-CN"/>
        </w:rPr>
        <w:t>bwp-DiffNumerology / bwp-SameNumerology</w:t>
      </w:r>
      <w:r>
        <w:rPr>
          <w:lang w:val="en-GB" w:eastAsia="zh-CN"/>
        </w:rPr>
        <w:t xml:space="preserve"> is based on </w:t>
      </w:r>
      <w:r w:rsidRPr="00A46643">
        <w:rPr>
          <w:lang w:val="en-GB" w:eastAsia="zh-CN"/>
        </w:rPr>
        <w:t>the support of this feature for the scheduled/triggered/indicated cell only</w:t>
      </w:r>
      <w:r>
        <w:rPr>
          <w:lang w:val="en-GB" w:eastAsia="zh-CN"/>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23759" w:rsidTr="008D115E">
        <w:trPr>
          <w:cantSplit/>
          <w:tblHeader/>
        </w:trPr>
        <w:tc>
          <w:tcPr>
            <w:tcW w:w="6917" w:type="dxa"/>
          </w:tcPr>
          <w:p w:rsidR="00423759" w:rsidRDefault="00423759" w:rsidP="008D115E">
            <w:pPr>
              <w:pStyle w:val="TAL"/>
              <w:rPr>
                <w:b/>
                <w:i/>
              </w:rPr>
            </w:pPr>
            <w:r>
              <w:rPr>
                <w:b/>
                <w:i/>
              </w:rPr>
              <w:t>bwp-DiffNumerology</w:t>
            </w:r>
          </w:p>
          <w:p w:rsidR="00423759" w:rsidRDefault="00423759" w:rsidP="008D115E">
            <w:pPr>
              <w:pStyle w:val="TAL"/>
            </w:pPr>
            <w: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423759" w:rsidRDefault="00423759" w:rsidP="008D115E">
            <w:pPr>
              <w:pStyle w:val="TAL"/>
              <w:jc w:val="center"/>
            </w:pPr>
            <w:r>
              <w:t>Band</w:t>
            </w:r>
          </w:p>
        </w:tc>
        <w:tc>
          <w:tcPr>
            <w:tcW w:w="567" w:type="dxa"/>
          </w:tcPr>
          <w:p w:rsidR="00423759" w:rsidRDefault="00423759" w:rsidP="008D115E">
            <w:pPr>
              <w:pStyle w:val="TAL"/>
              <w:jc w:val="center"/>
            </w:pPr>
            <w:r>
              <w:t>No</w:t>
            </w:r>
          </w:p>
        </w:tc>
        <w:tc>
          <w:tcPr>
            <w:tcW w:w="709" w:type="dxa"/>
          </w:tcPr>
          <w:p w:rsidR="00423759" w:rsidRDefault="00AE5C12" w:rsidP="008D115E">
            <w:pPr>
              <w:pStyle w:val="TAL"/>
              <w:jc w:val="center"/>
            </w:pPr>
            <w:r>
              <w:rPr>
                <w:rFonts w:cs="Arial"/>
              </w:rPr>
              <w:t>N/A</w:t>
            </w:r>
          </w:p>
        </w:tc>
        <w:tc>
          <w:tcPr>
            <w:tcW w:w="728" w:type="dxa"/>
          </w:tcPr>
          <w:p w:rsidR="00423759" w:rsidRDefault="00AE5C12" w:rsidP="008D115E">
            <w:pPr>
              <w:pStyle w:val="TAL"/>
              <w:jc w:val="center"/>
            </w:pPr>
            <w:r>
              <w:rPr>
                <w:rFonts w:cs="Arial"/>
              </w:rPr>
              <w:t>N/A</w:t>
            </w:r>
          </w:p>
        </w:tc>
      </w:tr>
    </w:tbl>
    <w:p w:rsidR="00423759" w:rsidRDefault="00423759" w:rsidP="00423759">
      <w:pPr>
        <w:rPr>
          <w:lang w:val="en-GB"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23759" w:rsidTr="008D115E">
        <w:trPr>
          <w:cantSplit/>
          <w:tblHeader/>
        </w:trPr>
        <w:tc>
          <w:tcPr>
            <w:tcW w:w="6917" w:type="dxa"/>
          </w:tcPr>
          <w:p w:rsidR="00423759" w:rsidRDefault="00423759" w:rsidP="008D115E">
            <w:pPr>
              <w:pStyle w:val="TAL"/>
              <w:rPr>
                <w:b/>
                <w:i/>
              </w:rPr>
            </w:pPr>
            <w:r>
              <w:rPr>
                <w:b/>
                <w:i/>
              </w:rPr>
              <w:t>bwp-SameNumerology</w:t>
            </w:r>
          </w:p>
          <w:p w:rsidR="00423759" w:rsidRDefault="00423759" w:rsidP="008D115E">
            <w:pPr>
              <w:pStyle w:val="TAL"/>
            </w:pPr>
            <w:r>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423759" w:rsidRDefault="00423759" w:rsidP="008D115E">
            <w:pPr>
              <w:pStyle w:val="TAL"/>
              <w:jc w:val="center"/>
            </w:pPr>
            <w:r>
              <w:t>Band</w:t>
            </w:r>
          </w:p>
        </w:tc>
        <w:tc>
          <w:tcPr>
            <w:tcW w:w="567" w:type="dxa"/>
          </w:tcPr>
          <w:p w:rsidR="00423759" w:rsidRDefault="00423759" w:rsidP="008D115E">
            <w:pPr>
              <w:pStyle w:val="TAL"/>
              <w:jc w:val="center"/>
            </w:pPr>
            <w:r>
              <w:t>No</w:t>
            </w:r>
          </w:p>
        </w:tc>
        <w:tc>
          <w:tcPr>
            <w:tcW w:w="709" w:type="dxa"/>
          </w:tcPr>
          <w:p w:rsidR="00423759" w:rsidRDefault="00AE5C12" w:rsidP="008D115E">
            <w:pPr>
              <w:pStyle w:val="TAL"/>
              <w:jc w:val="center"/>
            </w:pPr>
            <w:r>
              <w:rPr>
                <w:rFonts w:cs="Arial"/>
              </w:rPr>
              <w:t>N/A</w:t>
            </w:r>
          </w:p>
        </w:tc>
        <w:tc>
          <w:tcPr>
            <w:tcW w:w="728" w:type="dxa"/>
          </w:tcPr>
          <w:p w:rsidR="00423759" w:rsidRDefault="00AE5C12" w:rsidP="008D115E">
            <w:pPr>
              <w:pStyle w:val="TAL"/>
              <w:jc w:val="center"/>
            </w:pPr>
            <w:r>
              <w:rPr>
                <w:rFonts w:cs="Arial"/>
              </w:rPr>
              <w:t>N/A</w:t>
            </w:r>
          </w:p>
        </w:tc>
      </w:tr>
    </w:tbl>
    <w:p w:rsidR="00423759" w:rsidRDefault="00423759" w:rsidP="00423759">
      <w:pPr>
        <w:pStyle w:val="References"/>
        <w:numPr>
          <w:ilvl w:val="0"/>
          <w:numId w:val="0"/>
        </w:numPr>
        <w:ind w:left="360" w:hanging="360"/>
        <w:rPr>
          <w:lang w:eastAsia="zh-CN"/>
        </w:rPr>
      </w:pPr>
    </w:p>
    <w:p w:rsidR="005F723F" w:rsidRDefault="005F723F">
      <w:pPr>
        <w:rPr>
          <w:lang w:val="en-GB" w:eastAsia="zh-CN"/>
        </w:rPr>
      </w:pPr>
    </w:p>
    <w:p w:rsidR="008D115E" w:rsidRPr="008D115E" w:rsidRDefault="008D115E" w:rsidP="00CF42D6">
      <w:pPr>
        <w:pStyle w:val="Heading2"/>
        <w:rPr>
          <w:lang w:eastAsia="zh-CN"/>
        </w:rPr>
      </w:pPr>
      <w:r w:rsidRPr="008D115E">
        <w:rPr>
          <w:rFonts w:hint="eastAsia"/>
          <w:lang w:eastAsia="zh-CN"/>
        </w:rPr>
        <w:t>S</w:t>
      </w:r>
      <w:r w:rsidRPr="008D115E">
        <w:rPr>
          <w:lang w:eastAsia="zh-CN"/>
        </w:rPr>
        <w:t>ummary</w:t>
      </w:r>
    </w:p>
    <w:p w:rsidR="003F2DFF" w:rsidRDefault="003F2DFF">
      <w:pPr>
        <w:rPr>
          <w:lang w:val="en-GB" w:eastAsia="zh-CN"/>
        </w:rPr>
      </w:pPr>
      <w:r>
        <w:rPr>
          <w:rFonts w:hint="eastAsia"/>
          <w:lang w:val="en-GB" w:eastAsia="zh-CN"/>
        </w:rPr>
        <w:t>P</w:t>
      </w:r>
      <w:r>
        <w:rPr>
          <w:lang w:val="en-GB" w:eastAsia="zh-CN"/>
        </w:rPr>
        <w:t>rocedure wise, companies could present other UE capabilities with potential ambiguity issue from their perspective, if any. After that, RAN1 could clarify this issue first and then send an LS to ask RAN2 to update the spec accordingly.</w:t>
      </w:r>
    </w:p>
    <w:p w:rsidR="008D115E" w:rsidRDefault="00855A9E">
      <w:pPr>
        <w:rPr>
          <w:i/>
          <w:lang w:val="en-GB" w:eastAsia="zh-CN"/>
        </w:rPr>
      </w:pPr>
      <w:r w:rsidRPr="00855A9E">
        <w:rPr>
          <w:rFonts w:hint="eastAsia"/>
          <w:b/>
          <w:i/>
          <w:lang w:val="en-GB" w:eastAsia="zh-CN"/>
        </w:rPr>
        <w:t>P</w:t>
      </w:r>
      <w:r w:rsidRPr="00855A9E">
        <w:rPr>
          <w:b/>
          <w:i/>
          <w:lang w:val="en-GB" w:eastAsia="zh-CN"/>
        </w:rPr>
        <w:t>roposal 1</w:t>
      </w:r>
      <w:r w:rsidRPr="00855A9E">
        <w:rPr>
          <w:i/>
          <w:lang w:val="en-GB" w:eastAsia="zh-CN"/>
        </w:rPr>
        <w:t>: Regarding the interpretation of UE capabilities in case of cross-carrier operatio</w:t>
      </w:r>
      <w:r w:rsidR="008D115E">
        <w:rPr>
          <w:i/>
          <w:lang w:val="en-GB" w:eastAsia="zh-CN"/>
        </w:rPr>
        <w:t xml:space="preserve">n, RAN1 clarifies that </w:t>
      </w:r>
      <w:r w:rsidR="008D115E" w:rsidRPr="008D115E">
        <w:rPr>
          <w:i/>
          <w:lang w:val="en-GB" w:eastAsia="zh-CN"/>
        </w:rPr>
        <w:t xml:space="preserve">support of </w:t>
      </w:r>
      <w:r w:rsidR="008D115E">
        <w:rPr>
          <w:i/>
          <w:lang w:val="en-GB" w:eastAsia="zh-CN"/>
        </w:rPr>
        <w:t>the following UE capability</w:t>
      </w:r>
      <w:r w:rsidR="008D115E" w:rsidRPr="008D115E">
        <w:rPr>
          <w:i/>
          <w:lang w:val="en-GB" w:eastAsia="zh-CN"/>
        </w:rPr>
        <w:t xml:space="preserve"> is based on the support of this feature for the scheduled/triggered/indicated cell only.</w:t>
      </w:r>
    </w:p>
    <w:p w:rsidR="008D115E" w:rsidRPr="008D115E" w:rsidRDefault="008D115E" w:rsidP="008D115E">
      <w:pPr>
        <w:pStyle w:val="ListParagraph"/>
        <w:numPr>
          <w:ilvl w:val="0"/>
          <w:numId w:val="16"/>
        </w:numPr>
        <w:rPr>
          <w:i/>
          <w:lang w:eastAsia="zh-CN"/>
        </w:rPr>
      </w:pPr>
      <w:r w:rsidRPr="008D115E">
        <w:rPr>
          <w:i/>
          <w:lang w:eastAsia="zh-CN"/>
        </w:rPr>
        <w:t>aperiodicTRS</w:t>
      </w:r>
    </w:p>
    <w:p w:rsidR="008D115E" w:rsidRPr="008D115E" w:rsidRDefault="008D115E" w:rsidP="008D115E">
      <w:pPr>
        <w:pStyle w:val="ListParagraph"/>
        <w:numPr>
          <w:ilvl w:val="0"/>
          <w:numId w:val="16"/>
        </w:numPr>
        <w:rPr>
          <w:i/>
          <w:lang w:eastAsia="zh-CN"/>
        </w:rPr>
      </w:pPr>
      <w:r w:rsidRPr="008D115E">
        <w:rPr>
          <w:i/>
          <w:lang w:eastAsia="zh-CN"/>
        </w:rPr>
        <w:t>beamSwitchTiming</w:t>
      </w:r>
    </w:p>
    <w:p w:rsidR="008D115E" w:rsidRPr="008D115E" w:rsidRDefault="008D115E" w:rsidP="008D115E">
      <w:pPr>
        <w:pStyle w:val="ListParagraph"/>
        <w:numPr>
          <w:ilvl w:val="0"/>
          <w:numId w:val="16"/>
        </w:numPr>
        <w:rPr>
          <w:i/>
          <w:lang w:eastAsia="zh-CN"/>
        </w:rPr>
      </w:pPr>
      <w:r w:rsidRPr="008D115E">
        <w:rPr>
          <w:i/>
          <w:lang w:eastAsia="zh-CN"/>
        </w:rPr>
        <w:t>ue-SpecificUL-DL-Assignment</w:t>
      </w:r>
    </w:p>
    <w:p w:rsidR="008D115E" w:rsidRPr="008D115E" w:rsidRDefault="008D115E" w:rsidP="008D115E">
      <w:pPr>
        <w:pStyle w:val="ListParagraph"/>
        <w:numPr>
          <w:ilvl w:val="0"/>
          <w:numId w:val="16"/>
        </w:numPr>
        <w:rPr>
          <w:i/>
          <w:lang w:eastAsia="zh-CN"/>
        </w:rPr>
      </w:pPr>
      <w:r w:rsidRPr="008D115E">
        <w:rPr>
          <w:i/>
          <w:lang w:eastAsia="zh-CN"/>
        </w:rPr>
        <w:t>bwp-DiffNumerology / bwp-SameNumerology</w:t>
      </w:r>
    </w:p>
    <w:p w:rsidR="00855A9E" w:rsidRPr="00855A9E" w:rsidRDefault="00855A9E">
      <w:pPr>
        <w:rPr>
          <w:lang w:val="en-GB" w:eastAsia="zh-CN"/>
        </w:rPr>
      </w:pPr>
    </w:p>
    <w:p w:rsidR="00385A18" w:rsidRPr="00855A9E" w:rsidRDefault="00385A18">
      <w:pPr>
        <w:rPr>
          <w:i/>
          <w:lang w:val="en-GB" w:eastAsia="zh-CN"/>
        </w:rPr>
      </w:pPr>
      <w:r w:rsidRPr="00385A18">
        <w:rPr>
          <w:rFonts w:hint="eastAsia"/>
          <w:b/>
          <w:i/>
          <w:lang w:val="en-GB" w:eastAsia="zh-CN"/>
        </w:rPr>
        <w:t>P</w:t>
      </w:r>
      <w:r w:rsidRPr="00385A18">
        <w:rPr>
          <w:b/>
          <w:i/>
          <w:lang w:val="en-GB" w:eastAsia="zh-CN"/>
        </w:rPr>
        <w:t>roposal</w:t>
      </w:r>
      <w:r w:rsidR="00855A9E">
        <w:rPr>
          <w:b/>
          <w:i/>
          <w:lang w:val="en-GB" w:eastAsia="zh-CN"/>
        </w:rPr>
        <w:t xml:space="preserve"> 2</w:t>
      </w:r>
      <w:r w:rsidRPr="00385A18">
        <w:rPr>
          <w:i/>
          <w:lang w:val="en-GB" w:eastAsia="zh-CN"/>
        </w:rPr>
        <w:t xml:space="preserve">: </w:t>
      </w:r>
      <w:r>
        <w:rPr>
          <w:i/>
          <w:lang w:val="en-GB" w:eastAsia="zh-CN"/>
        </w:rPr>
        <w:t>RAN1 sends</w:t>
      </w:r>
      <w:r w:rsidRPr="00385A18">
        <w:rPr>
          <w:i/>
          <w:lang w:val="en-GB" w:eastAsia="zh-CN"/>
        </w:rPr>
        <w:t xml:space="preserve"> an LS </w:t>
      </w:r>
      <w:r>
        <w:rPr>
          <w:i/>
          <w:lang w:val="en-GB" w:eastAsia="zh-CN"/>
        </w:rPr>
        <w:t>to</w:t>
      </w:r>
      <w:r w:rsidRPr="00385A18">
        <w:rPr>
          <w:i/>
          <w:lang w:val="en-GB" w:eastAsia="zh-CN"/>
        </w:rPr>
        <w:t xml:space="preserve"> RAN2 to clarify the interpretation of</w:t>
      </w:r>
      <w:r w:rsidR="00855A9E">
        <w:rPr>
          <w:i/>
          <w:lang w:val="en-GB" w:eastAsia="zh-CN"/>
        </w:rPr>
        <w:t xml:space="preserve"> </w:t>
      </w:r>
      <w:r w:rsidRPr="00385A18">
        <w:rPr>
          <w:i/>
          <w:lang w:val="en-GB" w:eastAsia="zh-CN"/>
        </w:rPr>
        <w:t>UE capabilities</w:t>
      </w:r>
      <w:r w:rsidR="005B2E50">
        <w:rPr>
          <w:i/>
          <w:lang w:val="en-GB" w:eastAsia="zh-CN"/>
        </w:rPr>
        <w:t xml:space="preserve"> with potential ambiguity issue</w:t>
      </w:r>
      <w:r w:rsidRPr="00385A18">
        <w:rPr>
          <w:i/>
          <w:lang w:val="en-GB" w:eastAsia="zh-CN"/>
        </w:rPr>
        <w:t xml:space="preserve"> in case of cross-carrier operation.</w:t>
      </w:r>
    </w:p>
    <w:p w:rsidR="00385A18" w:rsidRPr="00855A9E" w:rsidRDefault="00385A18">
      <w:pPr>
        <w:rPr>
          <w:lang w:val="en-GB" w:eastAsia="zh-CN"/>
        </w:rPr>
      </w:pPr>
    </w:p>
    <w:p w:rsidR="00450834" w:rsidRDefault="00BD2FA9">
      <w:pPr>
        <w:pStyle w:val="Heading1"/>
        <w:rPr>
          <w:lang w:eastAsia="zh-CN"/>
        </w:rPr>
      </w:pPr>
      <w:r>
        <w:rPr>
          <w:rFonts w:hint="eastAsia"/>
          <w:lang w:eastAsia="zh-CN"/>
        </w:rPr>
        <w:t>C</w:t>
      </w:r>
      <w:r>
        <w:rPr>
          <w:lang w:eastAsia="zh-CN"/>
        </w:rPr>
        <w:t>onclusion</w:t>
      </w:r>
    </w:p>
    <w:p w:rsidR="00450834" w:rsidRDefault="00BD2FA9">
      <w:pPr>
        <w:rPr>
          <w:lang w:val="en-GB" w:eastAsia="zh-CN"/>
        </w:rPr>
      </w:pPr>
      <w:r>
        <w:rPr>
          <w:lang w:val="en-GB" w:eastAsia="zh-CN"/>
        </w:rPr>
        <w:t>In</w:t>
      </w:r>
      <w:r w:rsidR="00046DB1">
        <w:rPr>
          <w:lang w:val="en-GB" w:eastAsia="zh-CN"/>
        </w:rPr>
        <w:t xml:space="preserve"> this contribution, </w:t>
      </w:r>
      <w:r w:rsidR="00BB096F">
        <w:rPr>
          <w:lang w:val="en-GB" w:eastAsia="zh-CN"/>
        </w:rPr>
        <w:t>we present the following proposals for Rel-15 UE capability.</w:t>
      </w:r>
    </w:p>
    <w:p w:rsidR="005B2E50" w:rsidRDefault="005B2E50" w:rsidP="005B2E50">
      <w:pPr>
        <w:rPr>
          <w:i/>
          <w:lang w:val="en-GB" w:eastAsia="zh-CN"/>
        </w:rPr>
      </w:pPr>
      <w:r w:rsidRPr="00855A9E">
        <w:rPr>
          <w:rFonts w:hint="eastAsia"/>
          <w:b/>
          <w:i/>
          <w:lang w:val="en-GB" w:eastAsia="zh-CN"/>
        </w:rPr>
        <w:t>P</w:t>
      </w:r>
      <w:r w:rsidRPr="00855A9E">
        <w:rPr>
          <w:b/>
          <w:i/>
          <w:lang w:val="en-GB" w:eastAsia="zh-CN"/>
        </w:rPr>
        <w:t>roposal 1</w:t>
      </w:r>
      <w:r w:rsidRPr="00855A9E">
        <w:rPr>
          <w:i/>
          <w:lang w:val="en-GB" w:eastAsia="zh-CN"/>
        </w:rPr>
        <w:t>: Regarding the interpretation of UE capabilities in case of cross-carrier operatio</w:t>
      </w:r>
      <w:r>
        <w:rPr>
          <w:i/>
          <w:lang w:val="en-GB" w:eastAsia="zh-CN"/>
        </w:rPr>
        <w:t xml:space="preserve">n, RAN1 clarifies that </w:t>
      </w:r>
      <w:r w:rsidRPr="008D115E">
        <w:rPr>
          <w:i/>
          <w:lang w:val="en-GB" w:eastAsia="zh-CN"/>
        </w:rPr>
        <w:t xml:space="preserve">support of </w:t>
      </w:r>
      <w:r>
        <w:rPr>
          <w:i/>
          <w:lang w:val="en-GB" w:eastAsia="zh-CN"/>
        </w:rPr>
        <w:t>the following UE capability</w:t>
      </w:r>
      <w:r w:rsidRPr="008D115E">
        <w:rPr>
          <w:i/>
          <w:lang w:val="en-GB" w:eastAsia="zh-CN"/>
        </w:rPr>
        <w:t xml:space="preserve"> is based on the support of this feature for the scheduled/triggered/indicated cell only.</w:t>
      </w:r>
    </w:p>
    <w:p w:rsidR="005B2E50" w:rsidRPr="008D115E" w:rsidRDefault="005B2E50" w:rsidP="005B2E50">
      <w:pPr>
        <w:pStyle w:val="ListParagraph"/>
        <w:numPr>
          <w:ilvl w:val="0"/>
          <w:numId w:val="16"/>
        </w:numPr>
        <w:rPr>
          <w:i/>
          <w:lang w:eastAsia="zh-CN"/>
        </w:rPr>
      </w:pPr>
      <w:r w:rsidRPr="008D115E">
        <w:rPr>
          <w:i/>
          <w:lang w:eastAsia="zh-CN"/>
        </w:rPr>
        <w:t>aperiodicTRS</w:t>
      </w:r>
    </w:p>
    <w:p w:rsidR="005B2E50" w:rsidRPr="008D115E" w:rsidRDefault="005B2E50" w:rsidP="005B2E50">
      <w:pPr>
        <w:pStyle w:val="ListParagraph"/>
        <w:numPr>
          <w:ilvl w:val="0"/>
          <w:numId w:val="16"/>
        </w:numPr>
        <w:rPr>
          <w:i/>
          <w:lang w:eastAsia="zh-CN"/>
        </w:rPr>
      </w:pPr>
      <w:r w:rsidRPr="008D115E">
        <w:rPr>
          <w:i/>
          <w:lang w:eastAsia="zh-CN"/>
        </w:rPr>
        <w:t>beamSwitchTiming</w:t>
      </w:r>
    </w:p>
    <w:p w:rsidR="005B2E50" w:rsidRPr="008D115E" w:rsidRDefault="005B2E50" w:rsidP="005B2E50">
      <w:pPr>
        <w:pStyle w:val="ListParagraph"/>
        <w:numPr>
          <w:ilvl w:val="0"/>
          <w:numId w:val="16"/>
        </w:numPr>
        <w:rPr>
          <w:i/>
          <w:lang w:eastAsia="zh-CN"/>
        </w:rPr>
      </w:pPr>
      <w:r w:rsidRPr="008D115E">
        <w:rPr>
          <w:i/>
          <w:lang w:eastAsia="zh-CN"/>
        </w:rPr>
        <w:t>ue-SpecificUL-DL-Assignment</w:t>
      </w:r>
    </w:p>
    <w:p w:rsidR="005B2E50" w:rsidRPr="008D115E" w:rsidRDefault="005B2E50" w:rsidP="005B2E50">
      <w:pPr>
        <w:pStyle w:val="ListParagraph"/>
        <w:numPr>
          <w:ilvl w:val="0"/>
          <w:numId w:val="16"/>
        </w:numPr>
        <w:rPr>
          <w:i/>
          <w:lang w:eastAsia="zh-CN"/>
        </w:rPr>
      </w:pPr>
      <w:r w:rsidRPr="008D115E">
        <w:rPr>
          <w:i/>
          <w:lang w:eastAsia="zh-CN"/>
        </w:rPr>
        <w:t>bwp-DiffNumerology / bwp-SameNumerology</w:t>
      </w:r>
    </w:p>
    <w:p w:rsidR="005B2E50" w:rsidRPr="00855A9E" w:rsidRDefault="005B2E50" w:rsidP="005B2E50">
      <w:pPr>
        <w:rPr>
          <w:lang w:val="en-GB" w:eastAsia="zh-CN"/>
        </w:rPr>
      </w:pPr>
    </w:p>
    <w:p w:rsidR="00BB096F" w:rsidRPr="005B2E50" w:rsidRDefault="005B2E50">
      <w:pPr>
        <w:rPr>
          <w:i/>
          <w:lang w:val="en-GB" w:eastAsia="zh-CN"/>
        </w:rPr>
      </w:pPr>
      <w:r w:rsidRPr="00385A18">
        <w:rPr>
          <w:rFonts w:hint="eastAsia"/>
          <w:b/>
          <w:i/>
          <w:lang w:val="en-GB" w:eastAsia="zh-CN"/>
        </w:rPr>
        <w:lastRenderedPageBreak/>
        <w:t>P</w:t>
      </w:r>
      <w:r w:rsidRPr="00385A18">
        <w:rPr>
          <w:b/>
          <w:i/>
          <w:lang w:val="en-GB" w:eastAsia="zh-CN"/>
        </w:rPr>
        <w:t>roposal</w:t>
      </w:r>
      <w:r>
        <w:rPr>
          <w:b/>
          <w:i/>
          <w:lang w:val="en-GB" w:eastAsia="zh-CN"/>
        </w:rPr>
        <w:t xml:space="preserve"> 2</w:t>
      </w:r>
      <w:r w:rsidRPr="00385A18">
        <w:rPr>
          <w:i/>
          <w:lang w:val="en-GB" w:eastAsia="zh-CN"/>
        </w:rPr>
        <w:t xml:space="preserve">: </w:t>
      </w:r>
      <w:r>
        <w:rPr>
          <w:i/>
          <w:lang w:val="en-GB" w:eastAsia="zh-CN"/>
        </w:rPr>
        <w:t>RAN1 sends</w:t>
      </w:r>
      <w:r w:rsidRPr="00385A18">
        <w:rPr>
          <w:i/>
          <w:lang w:val="en-GB" w:eastAsia="zh-CN"/>
        </w:rPr>
        <w:t xml:space="preserve"> an LS </w:t>
      </w:r>
      <w:r>
        <w:rPr>
          <w:i/>
          <w:lang w:val="en-GB" w:eastAsia="zh-CN"/>
        </w:rPr>
        <w:t>to</w:t>
      </w:r>
      <w:r w:rsidRPr="00385A18">
        <w:rPr>
          <w:i/>
          <w:lang w:val="en-GB" w:eastAsia="zh-CN"/>
        </w:rPr>
        <w:t xml:space="preserve"> RAN2 to clarify the interpretation of</w:t>
      </w:r>
      <w:r>
        <w:rPr>
          <w:i/>
          <w:lang w:val="en-GB" w:eastAsia="zh-CN"/>
        </w:rPr>
        <w:t xml:space="preserve"> </w:t>
      </w:r>
      <w:r w:rsidRPr="00385A18">
        <w:rPr>
          <w:i/>
          <w:lang w:val="en-GB" w:eastAsia="zh-CN"/>
        </w:rPr>
        <w:t>UE capabilities</w:t>
      </w:r>
      <w:r>
        <w:rPr>
          <w:i/>
          <w:lang w:val="en-GB" w:eastAsia="zh-CN"/>
        </w:rPr>
        <w:t xml:space="preserve"> with potential ambiguity issue</w:t>
      </w:r>
      <w:r w:rsidRPr="00385A18">
        <w:rPr>
          <w:i/>
          <w:lang w:val="en-GB" w:eastAsia="zh-CN"/>
        </w:rPr>
        <w:t xml:space="preserve"> in case of cross-carrier operation.</w:t>
      </w:r>
    </w:p>
    <w:p w:rsidR="00450834" w:rsidRDefault="00BD2FA9">
      <w:pPr>
        <w:pStyle w:val="Heading1"/>
        <w:rPr>
          <w:lang w:eastAsia="zh-CN"/>
        </w:rPr>
      </w:pPr>
      <w:r>
        <w:rPr>
          <w:rFonts w:hint="eastAsia"/>
          <w:lang w:eastAsia="zh-CN"/>
        </w:rPr>
        <w:t>R</w:t>
      </w:r>
      <w:r>
        <w:rPr>
          <w:lang w:eastAsia="zh-CN"/>
        </w:rPr>
        <w:t>eference</w:t>
      </w:r>
    </w:p>
    <w:p w:rsidR="004562DE" w:rsidRDefault="004562DE" w:rsidP="004562DE">
      <w:pPr>
        <w:pStyle w:val="References"/>
        <w:rPr>
          <w:lang w:eastAsia="zh-CN"/>
        </w:rPr>
      </w:pPr>
      <w:bookmarkStart w:id="4" w:name="_Ref44923374"/>
      <w:bookmarkStart w:id="5" w:name="_Ref44506888"/>
      <w:r>
        <w:rPr>
          <w:lang w:eastAsia="zh-CN"/>
        </w:rPr>
        <w:t>RP‑201284, Summary of email discussion [R15_R16_UE_features], NTT DOCOMO, RAN#88e.</w:t>
      </w:r>
      <w:bookmarkEnd w:id="4"/>
    </w:p>
    <w:p w:rsidR="00450834" w:rsidRDefault="00386C3E" w:rsidP="00386C3E">
      <w:pPr>
        <w:pStyle w:val="References"/>
        <w:rPr>
          <w:lang w:eastAsia="zh-CN"/>
        </w:rPr>
      </w:pPr>
      <w:bookmarkStart w:id="6" w:name="_Ref44923611"/>
      <w:r w:rsidRPr="00386C3E">
        <w:rPr>
          <w:lang w:eastAsia="zh-CN"/>
        </w:rPr>
        <w:t>R1-1909953</w:t>
      </w:r>
      <w:r>
        <w:rPr>
          <w:rFonts w:hint="eastAsia"/>
          <w:lang w:eastAsia="zh-CN"/>
        </w:rPr>
        <w:t>,</w:t>
      </w:r>
      <w:r>
        <w:rPr>
          <w:lang w:eastAsia="zh-CN"/>
        </w:rPr>
        <w:t xml:space="preserve"> </w:t>
      </w:r>
      <w:r w:rsidRPr="00386C3E">
        <w:rPr>
          <w:lang w:eastAsia="zh-CN"/>
        </w:rPr>
        <w:t>LS on ambiguity of UE L1 FDD/TDD FR1/FR2 capabilities</w:t>
      </w:r>
      <w:r>
        <w:rPr>
          <w:lang w:eastAsia="zh-CN"/>
        </w:rPr>
        <w:t>, RAN2#107</w:t>
      </w:r>
      <w:bookmarkEnd w:id="5"/>
      <w:bookmarkEnd w:id="6"/>
    </w:p>
    <w:p w:rsidR="00664F10" w:rsidRDefault="00386C3E" w:rsidP="003C3A43">
      <w:pPr>
        <w:pStyle w:val="References"/>
        <w:rPr>
          <w:lang w:eastAsia="zh-CN"/>
        </w:rPr>
      </w:pPr>
      <w:bookmarkStart w:id="7" w:name="_Ref44507203"/>
      <w:r w:rsidRPr="00386C3E">
        <w:rPr>
          <w:lang w:eastAsia="zh-CN"/>
        </w:rPr>
        <w:t>R1-1911741</w:t>
      </w:r>
      <w:r>
        <w:rPr>
          <w:lang w:eastAsia="zh-CN"/>
        </w:rPr>
        <w:t xml:space="preserve">, </w:t>
      </w:r>
      <w:r w:rsidRPr="00386C3E">
        <w:rPr>
          <w:lang w:eastAsia="zh-CN"/>
        </w:rPr>
        <w:t>Reply LS on ambiguity of UE L1 FDD/TDD FR1/FR2 capabilities</w:t>
      </w:r>
      <w:r>
        <w:rPr>
          <w:lang w:eastAsia="zh-CN"/>
        </w:rPr>
        <w:t>, RAN1#98bis.</w:t>
      </w:r>
      <w:bookmarkEnd w:id="7"/>
    </w:p>
    <w:sectPr w:rsidR="00664F10">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29B" w:rsidRDefault="00C0629B">
      <w:pPr>
        <w:spacing w:after="0"/>
      </w:pPr>
      <w:r>
        <w:separator/>
      </w:r>
    </w:p>
  </w:endnote>
  <w:endnote w:type="continuationSeparator" w:id="0">
    <w:p w:rsidR="00C0629B" w:rsidRDefault="00C062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15E" w:rsidRDefault="008D11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D115E" w:rsidRDefault="008D115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15E" w:rsidRDefault="008D115E">
    <w:pPr>
      <w:pStyle w:val="Footer"/>
      <w:ind w:right="360"/>
    </w:pPr>
    <w:r>
      <w:rPr>
        <w:rStyle w:val="PageNumber"/>
      </w:rPr>
      <w:fldChar w:fldCharType="begin"/>
    </w:r>
    <w:r>
      <w:rPr>
        <w:rStyle w:val="PageNumber"/>
      </w:rPr>
      <w:instrText xml:space="preserve"> PAGE </w:instrText>
    </w:r>
    <w:r>
      <w:rPr>
        <w:rStyle w:val="PageNumber"/>
      </w:rPr>
      <w:fldChar w:fldCharType="separate"/>
    </w:r>
    <w:r w:rsidR="00652486">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52486">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29B" w:rsidRDefault="00C0629B">
      <w:pPr>
        <w:spacing w:after="0"/>
      </w:pPr>
      <w:r>
        <w:separator/>
      </w:r>
    </w:p>
  </w:footnote>
  <w:footnote w:type="continuationSeparator" w:id="0">
    <w:p w:rsidR="00C0629B" w:rsidRDefault="00C0629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115E" w:rsidRDefault="008D115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87656B5"/>
    <w:multiLevelType w:val="hybridMultilevel"/>
    <w:tmpl w:val="97EEF866"/>
    <w:lvl w:ilvl="0" w:tplc="ABF69F3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2EC1282"/>
    <w:multiLevelType w:val="hybridMultilevel"/>
    <w:tmpl w:val="684EDB80"/>
    <w:lvl w:ilvl="0" w:tplc="5488359E">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E557B26"/>
    <w:multiLevelType w:val="hybridMultilevel"/>
    <w:tmpl w:val="7F742D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5075A1"/>
    <w:multiLevelType w:val="hybridMultilevel"/>
    <w:tmpl w:val="F014D5C8"/>
    <w:lvl w:ilvl="0" w:tplc="5488359E">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9"/>
  </w:num>
  <w:num w:numId="4">
    <w:abstractNumId w:val="5"/>
  </w:num>
  <w:num w:numId="5">
    <w:abstractNumId w:val="11"/>
  </w:num>
  <w:num w:numId="6">
    <w:abstractNumId w:val="8"/>
  </w:num>
  <w:num w:numId="7">
    <w:abstractNumId w:val="4"/>
  </w:num>
  <w:num w:numId="8">
    <w:abstractNumId w:val="10"/>
  </w:num>
  <w:num w:numId="9">
    <w:abstractNumId w:val="2"/>
  </w:num>
  <w:num w:numId="10">
    <w:abstractNumId w:val="1"/>
  </w:num>
  <w:num w:numId="11">
    <w:abstractNumId w:val="0"/>
  </w:num>
  <w:num w:numId="12">
    <w:abstractNumId w:val="6"/>
  </w:num>
  <w:num w:numId="13">
    <w:abstractNumId w:val="9"/>
  </w:num>
  <w:num w:numId="14">
    <w:abstractNumId w:val="9"/>
  </w:num>
  <w:num w:numId="15">
    <w:abstractNumId w:val="9"/>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781"/>
    <w:rsid w:val="00033BC2"/>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DB1"/>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10"/>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005"/>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0B4"/>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A43"/>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2DFF"/>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0E4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3759"/>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2D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3F9A"/>
    <w:rsid w:val="004C47FE"/>
    <w:rsid w:val="004C4B36"/>
    <w:rsid w:val="004C4BCE"/>
    <w:rsid w:val="004C4BF3"/>
    <w:rsid w:val="004C4F33"/>
    <w:rsid w:val="004C521E"/>
    <w:rsid w:val="004C5283"/>
    <w:rsid w:val="004C566C"/>
    <w:rsid w:val="004C5C44"/>
    <w:rsid w:val="004C5EF0"/>
    <w:rsid w:val="004C63D6"/>
    <w:rsid w:val="004C660B"/>
    <w:rsid w:val="004C676E"/>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50"/>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23F"/>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486"/>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5D68"/>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775"/>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A9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15E"/>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264"/>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6F2"/>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643"/>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12"/>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96F"/>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4DEB"/>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E7EF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D"/>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29B"/>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4CC4"/>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2D6"/>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4A7"/>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1809"/>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47DB"/>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9497C62"/>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94D6347"/>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446ABC"/>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576B9C"/>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6302A1"/>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A520F52-49B0-4B21-B31F-6E3CFBDD3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rFonts w:eastAsia="宋体"/>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8013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B782401-0665-47A6-83EA-37A1BB597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4</Pages>
  <Words>1509</Words>
  <Characters>8605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10094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ZTE2</cp:lastModifiedBy>
  <cp:revision>46</cp:revision>
  <cp:lastPrinted>2018-04-07T03:05:00Z</cp:lastPrinted>
  <dcterms:created xsi:type="dcterms:W3CDTF">2020-04-10T11:34:00Z</dcterms:created>
  <dcterms:modified xsi:type="dcterms:W3CDTF">2020-08-06T10:47:00Z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